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37833D" w14:textId="3DE38E7A" w:rsidR="006D7E62" w:rsidRDefault="006D7E62" w:rsidP="006D7E62">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Supplementary Materials</w:t>
      </w:r>
    </w:p>
    <w:p w14:paraId="46E4BACE" w14:textId="77777777" w:rsidR="006D7E62" w:rsidRDefault="006D7E62">
      <w:pPr>
        <w:rPr>
          <w:rFonts w:ascii="Times New Roman" w:eastAsia="Times New Roman" w:hAnsi="Times New Roman" w:cs="Times New Roman"/>
          <w:b/>
          <w:bCs/>
          <w:sz w:val="24"/>
          <w:szCs w:val="24"/>
        </w:rPr>
      </w:pPr>
    </w:p>
    <w:p w14:paraId="1B0156FA" w14:textId="34B2B55F" w:rsidR="0035362F" w:rsidRDefault="008A5410">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Table S1.</w:t>
      </w:r>
      <w:r>
        <w:rPr>
          <w:rFonts w:ascii="Times New Roman" w:eastAsia="Times New Roman" w:hAnsi="Times New Roman" w:cs="Times New Roman"/>
          <w:sz w:val="24"/>
          <w:szCs w:val="24"/>
        </w:rPr>
        <w:t xml:space="preserve"> Complete-Case Sensitivity Analysis</w:t>
      </w:r>
    </w:p>
    <w:tbl>
      <w:tblPr>
        <w:tblStyle w:val="a3"/>
        <w:tblW w:w="96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05"/>
        <w:gridCol w:w="1815"/>
        <w:gridCol w:w="1260"/>
        <w:gridCol w:w="1335"/>
        <w:gridCol w:w="1140"/>
        <w:gridCol w:w="1080"/>
        <w:gridCol w:w="1380"/>
      </w:tblGrid>
      <w:tr w:rsidR="0035362F" w14:paraId="1B015702" w14:textId="77777777">
        <w:tc>
          <w:tcPr>
            <w:tcW w:w="1605" w:type="dxa"/>
            <w:tcBorders>
              <w:top w:val="single" w:sz="8" w:space="0" w:color="D9D9D9"/>
              <w:left w:val="single" w:sz="8" w:space="0" w:color="D9D9D9"/>
              <w:bottom w:val="single" w:sz="8" w:space="0" w:color="D9D9D9"/>
              <w:right w:val="single" w:sz="8" w:space="0" w:color="D9D9D9"/>
            </w:tcBorders>
          </w:tcPr>
          <w:p w14:paraId="1B0156FB" w14:textId="77777777" w:rsidR="0035362F" w:rsidRDefault="008A5410">
            <w:pPr>
              <w:widowControl w:val="0"/>
              <w:jc w:val="center"/>
              <w:rPr>
                <w:rFonts w:ascii="Times New Roman" w:eastAsia="Times New Roman" w:hAnsi="Times New Roman" w:cs="Times New Roman"/>
                <w:b/>
                <w:bCs/>
              </w:rPr>
            </w:pPr>
            <w:r>
              <w:rPr>
                <w:rFonts w:ascii="Times New Roman" w:eastAsia="Times New Roman" w:hAnsi="Times New Roman" w:cs="Times New Roman"/>
                <w:b/>
                <w:bCs/>
              </w:rPr>
              <w:t>Outcome Measure</w:t>
            </w:r>
          </w:p>
        </w:tc>
        <w:tc>
          <w:tcPr>
            <w:tcW w:w="1815" w:type="dxa"/>
            <w:tcBorders>
              <w:top w:val="single" w:sz="8" w:space="0" w:color="D9D9D9"/>
              <w:left w:val="single" w:sz="8" w:space="0" w:color="D9D9D9"/>
              <w:bottom w:val="single" w:sz="8" w:space="0" w:color="D9D9D9"/>
              <w:right w:val="single" w:sz="8" w:space="0" w:color="D9D9D9"/>
            </w:tcBorders>
          </w:tcPr>
          <w:p w14:paraId="1B0156FC" w14:textId="77777777" w:rsidR="0035362F" w:rsidRDefault="008A5410">
            <w:pPr>
              <w:widowControl w:val="0"/>
              <w:jc w:val="center"/>
              <w:rPr>
                <w:rFonts w:ascii="Times New Roman" w:eastAsia="Times New Roman" w:hAnsi="Times New Roman" w:cs="Times New Roman"/>
                <w:b/>
                <w:bCs/>
              </w:rPr>
            </w:pPr>
            <w:r>
              <w:rPr>
                <w:rFonts w:ascii="Times New Roman" w:eastAsia="Times New Roman" w:hAnsi="Times New Roman" w:cs="Times New Roman"/>
                <w:b/>
                <w:bCs/>
              </w:rPr>
              <w:t xml:space="preserve">Statistical Model </w:t>
            </w:r>
          </w:p>
        </w:tc>
        <w:tc>
          <w:tcPr>
            <w:tcW w:w="1260" w:type="dxa"/>
            <w:tcBorders>
              <w:top w:val="single" w:sz="8" w:space="0" w:color="D9D9D9"/>
              <w:left w:val="single" w:sz="8" w:space="0" w:color="D9D9D9"/>
              <w:bottom w:val="single" w:sz="8" w:space="0" w:color="D9D9D9"/>
              <w:right w:val="single" w:sz="8" w:space="0" w:color="D9D9D9"/>
            </w:tcBorders>
          </w:tcPr>
          <w:p w14:paraId="1B0156FD" w14:textId="77777777" w:rsidR="0035362F" w:rsidRDefault="008A5410">
            <w:pPr>
              <w:widowControl w:val="0"/>
              <w:jc w:val="center"/>
              <w:rPr>
                <w:rFonts w:ascii="Times New Roman" w:eastAsia="Times New Roman" w:hAnsi="Times New Roman" w:cs="Times New Roman"/>
                <w:b/>
                <w:bCs/>
                <w:vertAlign w:val="superscript"/>
              </w:rPr>
            </w:pPr>
            <w:r>
              <w:rPr>
                <w:rFonts w:ascii="Times New Roman" w:eastAsia="Times New Roman" w:hAnsi="Times New Roman" w:cs="Times New Roman"/>
                <w:b/>
                <w:bCs/>
              </w:rPr>
              <w:t>N</w:t>
            </w:r>
          </w:p>
        </w:tc>
        <w:tc>
          <w:tcPr>
            <w:tcW w:w="1335" w:type="dxa"/>
            <w:tcBorders>
              <w:top w:val="single" w:sz="8" w:space="0" w:color="D9D9D9"/>
              <w:left w:val="single" w:sz="8" w:space="0" w:color="D9D9D9"/>
              <w:bottom w:val="single" w:sz="8" w:space="0" w:color="D9D9D9"/>
              <w:right w:val="single" w:sz="8" w:space="0" w:color="D9D9D9"/>
            </w:tcBorders>
          </w:tcPr>
          <w:p w14:paraId="1B0156FE" w14:textId="77777777" w:rsidR="0035362F" w:rsidRDefault="008A5410">
            <w:pPr>
              <w:widowControl w:val="0"/>
              <w:jc w:val="center"/>
              <w:rPr>
                <w:rFonts w:ascii="Times New Roman" w:eastAsia="Times New Roman" w:hAnsi="Times New Roman" w:cs="Times New Roman"/>
                <w:b/>
                <w:bCs/>
                <w:vertAlign w:val="superscript"/>
              </w:rPr>
            </w:pPr>
            <w:r>
              <w:rPr>
                <w:rFonts w:ascii="Times New Roman" w:eastAsia="Times New Roman" w:hAnsi="Times New Roman" w:cs="Times New Roman"/>
                <w:b/>
                <w:bCs/>
              </w:rPr>
              <w:t>Effect Estimate</w:t>
            </w:r>
          </w:p>
        </w:tc>
        <w:tc>
          <w:tcPr>
            <w:tcW w:w="1140" w:type="dxa"/>
            <w:tcBorders>
              <w:top w:val="single" w:sz="8" w:space="0" w:color="D9D9D9"/>
              <w:left w:val="single" w:sz="8" w:space="0" w:color="D9D9D9"/>
              <w:bottom w:val="single" w:sz="8" w:space="0" w:color="D9D9D9"/>
              <w:right w:val="single" w:sz="8" w:space="0" w:color="D9D9D9"/>
            </w:tcBorders>
          </w:tcPr>
          <w:p w14:paraId="1B0156FF" w14:textId="77777777" w:rsidR="0035362F" w:rsidRDefault="008A5410">
            <w:pPr>
              <w:widowControl w:val="0"/>
              <w:jc w:val="center"/>
              <w:rPr>
                <w:rFonts w:ascii="Times New Roman" w:eastAsia="Times New Roman" w:hAnsi="Times New Roman" w:cs="Times New Roman"/>
                <w:b/>
                <w:bCs/>
              </w:rPr>
            </w:pPr>
            <w:r>
              <w:rPr>
                <w:rFonts w:ascii="Times New Roman" w:eastAsia="Times New Roman" w:hAnsi="Times New Roman" w:cs="Times New Roman"/>
                <w:b/>
                <w:bCs/>
              </w:rPr>
              <w:t>95% CI (Lower)</w:t>
            </w:r>
          </w:p>
        </w:tc>
        <w:tc>
          <w:tcPr>
            <w:tcW w:w="1080" w:type="dxa"/>
            <w:tcBorders>
              <w:top w:val="single" w:sz="8" w:space="0" w:color="D9D9D9"/>
              <w:left w:val="single" w:sz="8" w:space="0" w:color="D9D9D9"/>
              <w:bottom w:val="single" w:sz="8" w:space="0" w:color="D9D9D9"/>
              <w:right w:val="single" w:sz="8" w:space="0" w:color="D9D9D9"/>
            </w:tcBorders>
          </w:tcPr>
          <w:p w14:paraId="1B015700" w14:textId="77777777" w:rsidR="0035362F" w:rsidRDefault="008A5410">
            <w:pPr>
              <w:widowControl w:val="0"/>
              <w:jc w:val="center"/>
              <w:rPr>
                <w:rFonts w:ascii="Times New Roman" w:eastAsia="Times New Roman" w:hAnsi="Times New Roman" w:cs="Times New Roman"/>
                <w:b/>
                <w:bCs/>
              </w:rPr>
            </w:pPr>
            <w:r>
              <w:rPr>
                <w:rFonts w:ascii="Times New Roman" w:eastAsia="Times New Roman" w:hAnsi="Times New Roman" w:cs="Times New Roman"/>
                <w:b/>
                <w:bCs/>
              </w:rPr>
              <w:t>95% CI (Upper)</w:t>
            </w:r>
          </w:p>
        </w:tc>
        <w:tc>
          <w:tcPr>
            <w:tcW w:w="1380" w:type="dxa"/>
            <w:tcBorders>
              <w:top w:val="single" w:sz="8" w:space="0" w:color="D9D9D9"/>
              <w:left w:val="single" w:sz="8" w:space="0" w:color="D9D9D9"/>
              <w:bottom w:val="single" w:sz="8" w:space="0" w:color="D9D9D9"/>
              <w:right w:val="single" w:sz="8" w:space="0" w:color="D9D9D9"/>
            </w:tcBorders>
          </w:tcPr>
          <w:p w14:paraId="1B015701" w14:textId="77777777" w:rsidR="0035362F" w:rsidRDefault="008A5410">
            <w:pPr>
              <w:widowControl w:val="0"/>
              <w:jc w:val="center"/>
              <w:rPr>
                <w:rFonts w:ascii="Times New Roman" w:eastAsia="Times New Roman" w:hAnsi="Times New Roman" w:cs="Times New Roman"/>
                <w:b/>
                <w:bCs/>
              </w:rPr>
            </w:pPr>
            <w:r>
              <w:rPr>
                <w:rFonts w:ascii="Times New Roman" w:eastAsia="Times New Roman" w:hAnsi="Times New Roman" w:cs="Times New Roman"/>
                <w:b/>
                <w:bCs/>
                <w:i/>
                <w:iCs/>
              </w:rPr>
              <w:t>P</w:t>
            </w:r>
            <w:r>
              <w:rPr>
                <w:rFonts w:ascii="Times New Roman" w:eastAsia="Times New Roman" w:hAnsi="Times New Roman" w:cs="Times New Roman"/>
                <w:b/>
                <w:bCs/>
              </w:rPr>
              <w:t xml:space="preserve"> value </w:t>
            </w:r>
          </w:p>
        </w:tc>
      </w:tr>
      <w:tr w:rsidR="0035362F" w14:paraId="1B01570A" w14:textId="77777777">
        <w:tc>
          <w:tcPr>
            <w:tcW w:w="1605" w:type="dxa"/>
            <w:tcBorders>
              <w:top w:val="single" w:sz="8" w:space="0" w:color="D9D9D9"/>
              <w:left w:val="single" w:sz="8" w:space="0" w:color="D9D9D9"/>
              <w:bottom w:val="single" w:sz="8" w:space="0" w:color="D9D9D9"/>
              <w:right w:val="single" w:sz="8" w:space="0" w:color="D9D9D9"/>
            </w:tcBorders>
          </w:tcPr>
          <w:p w14:paraId="1B015703"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 xml:space="preserve">Fall Rate (Negative Binomial) </w:t>
            </w:r>
          </w:p>
        </w:tc>
        <w:tc>
          <w:tcPr>
            <w:tcW w:w="1815" w:type="dxa"/>
            <w:tcBorders>
              <w:top w:val="single" w:sz="8" w:space="0" w:color="D9D9D9"/>
              <w:left w:val="single" w:sz="8" w:space="0" w:color="D9D9D9"/>
              <w:bottom w:val="single" w:sz="8" w:space="0" w:color="D9D9D9"/>
              <w:right w:val="single" w:sz="8" w:space="0" w:color="D9D9D9"/>
            </w:tcBorders>
          </w:tcPr>
          <w:p w14:paraId="1B015704"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Primary Model (Full Analysis Set)</w:t>
            </w:r>
          </w:p>
        </w:tc>
        <w:tc>
          <w:tcPr>
            <w:tcW w:w="1260" w:type="dxa"/>
            <w:tcBorders>
              <w:top w:val="single" w:sz="8" w:space="0" w:color="D9D9D9"/>
              <w:left w:val="single" w:sz="8" w:space="0" w:color="D9D9D9"/>
              <w:bottom w:val="single" w:sz="8" w:space="0" w:color="D9D9D9"/>
              <w:right w:val="single" w:sz="8" w:space="0" w:color="D9D9D9"/>
            </w:tcBorders>
          </w:tcPr>
          <w:p w14:paraId="1B015705"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687</w:t>
            </w:r>
          </w:p>
        </w:tc>
        <w:tc>
          <w:tcPr>
            <w:tcW w:w="1335" w:type="dxa"/>
            <w:tcBorders>
              <w:top w:val="single" w:sz="8" w:space="0" w:color="D9D9D9"/>
              <w:left w:val="single" w:sz="8" w:space="0" w:color="D9D9D9"/>
              <w:bottom w:val="single" w:sz="8" w:space="0" w:color="D9D9D9"/>
              <w:right w:val="single" w:sz="8" w:space="0" w:color="D9D9D9"/>
            </w:tcBorders>
          </w:tcPr>
          <w:p w14:paraId="1B015706"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0.63</w:t>
            </w:r>
          </w:p>
        </w:tc>
        <w:tc>
          <w:tcPr>
            <w:tcW w:w="1140" w:type="dxa"/>
            <w:tcBorders>
              <w:top w:val="single" w:sz="8" w:space="0" w:color="D9D9D9"/>
              <w:left w:val="single" w:sz="8" w:space="0" w:color="D9D9D9"/>
              <w:bottom w:val="single" w:sz="8" w:space="0" w:color="D9D9D9"/>
              <w:right w:val="single" w:sz="8" w:space="0" w:color="D9D9D9"/>
            </w:tcBorders>
          </w:tcPr>
          <w:p w14:paraId="1B015707"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0.48</w:t>
            </w:r>
          </w:p>
        </w:tc>
        <w:tc>
          <w:tcPr>
            <w:tcW w:w="1080" w:type="dxa"/>
            <w:tcBorders>
              <w:top w:val="single" w:sz="8" w:space="0" w:color="D9D9D9"/>
              <w:left w:val="single" w:sz="8" w:space="0" w:color="D9D9D9"/>
              <w:bottom w:val="single" w:sz="8" w:space="0" w:color="D9D9D9"/>
              <w:right w:val="single" w:sz="8" w:space="0" w:color="D9D9D9"/>
            </w:tcBorders>
          </w:tcPr>
          <w:p w14:paraId="1B015708"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0.82</w:t>
            </w:r>
          </w:p>
        </w:tc>
        <w:tc>
          <w:tcPr>
            <w:tcW w:w="1380" w:type="dxa"/>
            <w:tcBorders>
              <w:top w:val="single" w:sz="8" w:space="0" w:color="D9D9D9"/>
              <w:left w:val="single" w:sz="8" w:space="0" w:color="D9D9D9"/>
              <w:bottom w:val="single" w:sz="8" w:space="0" w:color="D9D9D9"/>
              <w:right w:val="single" w:sz="8" w:space="0" w:color="D9D9D9"/>
            </w:tcBorders>
          </w:tcPr>
          <w:p w14:paraId="1B015709"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&lt;.001</w:t>
            </w:r>
          </w:p>
        </w:tc>
      </w:tr>
      <w:tr w:rsidR="0035362F" w14:paraId="1B015712" w14:textId="77777777">
        <w:tc>
          <w:tcPr>
            <w:tcW w:w="1605" w:type="dxa"/>
            <w:tcBorders>
              <w:top w:val="single" w:sz="8" w:space="0" w:color="D9D9D9"/>
              <w:left w:val="single" w:sz="8" w:space="0" w:color="D9D9D9"/>
              <w:bottom w:val="single" w:sz="8" w:space="0" w:color="D9D9D9"/>
              <w:right w:val="single" w:sz="8" w:space="0" w:color="D9D9D9"/>
            </w:tcBorders>
          </w:tcPr>
          <w:p w14:paraId="1B01570B" w14:textId="77777777" w:rsidR="0035362F" w:rsidRDefault="0035362F">
            <w:pPr>
              <w:widowControl w:val="0"/>
              <w:rPr>
                <w:rFonts w:ascii="Times New Roman" w:eastAsia="Times New Roman" w:hAnsi="Times New Roman" w:cs="Times New Roman"/>
              </w:rPr>
            </w:pPr>
          </w:p>
        </w:tc>
        <w:tc>
          <w:tcPr>
            <w:tcW w:w="1815" w:type="dxa"/>
            <w:tcBorders>
              <w:top w:val="single" w:sz="8" w:space="0" w:color="D9D9D9"/>
              <w:left w:val="single" w:sz="8" w:space="0" w:color="D9D9D9"/>
              <w:bottom w:val="single" w:sz="8" w:space="0" w:color="D9D9D9"/>
              <w:right w:val="single" w:sz="8" w:space="0" w:color="D9D9D9"/>
            </w:tcBorders>
          </w:tcPr>
          <w:p w14:paraId="1B01570C"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Complete-Case Sensitivity</w:t>
            </w:r>
          </w:p>
        </w:tc>
        <w:tc>
          <w:tcPr>
            <w:tcW w:w="1260" w:type="dxa"/>
            <w:tcBorders>
              <w:top w:val="single" w:sz="8" w:space="0" w:color="D9D9D9"/>
              <w:left w:val="single" w:sz="8" w:space="0" w:color="D9D9D9"/>
              <w:bottom w:val="single" w:sz="8" w:space="0" w:color="D9D9D9"/>
              <w:right w:val="single" w:sz="8" w:space="0" w:color="D9D9D9"/>
            </w:tcBorders>
          </w:tcPr>
          <w:p w14:paraId="1B01570D"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599</w:t>
            </w:r>
          </w:p>
        </w:tc>
        <w:tc>
          <w:tcPr>
            <w:tcW w:w="1335" w:type="dxa"/>
            <w:tcBorders>
              <w:top w:val="single" w:sz="8" w:space="0" w:color="D9D9D9"/>
              <w:left w:val="single" w:sz="8" w:space="0" w:color="D9D9D9"/>
              <w:bottom w:val="single" w:sz="8" w:space="0" w:color="D9D9D9"/>
              <w:right w:val="single" w:sz="8" w:space="0" w:color="D9D9D9"/>
            </w:tcBorders>
          </w:tcPr>
          <w:p w14:paraId="1B01570E"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0.64</w:t>
            </w:r>
          </w:p>
        </w:tc>
        <w:tc>
          <w:tcPr>
            <w:tcW w:w="1140" w:type="dxa"/>
            <w:tcBorders>
              <w:top w:val="single" w:sz="8" w:space="0" w:color="D9D9D9"/>
              <w:left w:val="single" w:sz="8" w:space="0" w:color="D9D9D9"/>
              <w:bottom w:val="single" w:sz="8" w:space="0" w:color="D9D9D9"/>
              <w:right w:val="single" w:sz="8" w:space="0" w:color="D9D9D9"/>
            </w:tcBorders>
          </w:tcPr>
          <w:p w14:paraId="1B01570F"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0.49</w:t>
            </w:r>
          </w:p>
        </w:tc>
        <w:tc>
          <w:tcPr>
            <w:tcW w:w="1080" w:type="dxa"/>
            <w:tcBorders>
              <w:top w:val="single" w:sz="8" w:space="0" w:color="D9D9D9"/>
              <w:left w:val="single" w:sz="8" w:space="0" w:color="D9D9D9"/>
              <w:bottom w:val="single" w:sz="8" w:space="0" w:color="D9D9D9"/>
              <w:right w:val="single" w:sz="8" w:space="0" w:color="D9D9D9"/>
            </w:tcBorders>
          </w:tcPr>
          <w:p w14:paraId="1B015710"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0.83</w:t>
            </w:r>
          </w:p>
        </w:tc>
        <w:tc>
          <w:tcPr>
            <w:tcW w:w="1380" w:type="dxa"/>
            <w:tcBorders>
              <w:top w:val="single" w:sz="8" w:space="0" w:color="D9D9D9"/>
              <w:left w:val="single" w:sz="8" w:space="0" w:color="D9D9D9"/>
              <w:bottom w:val="single" w:sz="8" w:space="0" w:color="D9D9D9"/>
              <w:right w:val="single" w:sz="8" w:space="0" w:color="D9D9D9"/>
            </w:tcBorders>
          </w:tcPr>
          <w:p w14:paraId="1B015711"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&lt;.001</w:t>
            </w:r>
          </w:p>
        </w:tc>
      </w:tr>
      <w:tr w:rsidR="0035362F" w14:paraId="1B01571A" w14:textId="77777777">
        <w:tc>
          <w:tcPr>
            <w:tcW w:w="1605" w:type="dxa"/>
            <w:tcBorders>
              <w:top w:val="single" w:sz="8" w:space="0" w:color="D9D9D9"/>
              <w:left w:val="single" w:sz="8" w:space="0" w:color="D9D9D9"/>
              <w:bottom w:val="single" w:sz="8" w:space="0" w:color="D9D9D9"/>
              <w:right w:val="single" w:sz="8" w:space="0" w:color="D9D9D9"/>
            </w:tcBorders>
          </w:tcPr>
          <w:p w14:paraId="1B015713"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Physical Function (PFS) (Linear Mixed-Effects Model)</w:t>
            </w:r>
          </w:p>
        </w:tc>
        <w:tc>
          <w:tcPr>
            <w:tcW w:w="1815" w:type="dxa"/>
            <w:tcBorders>
              <w:top w:val="single" w:sz="8" w:space="0" w:color="D9D9D9"/>
              <w:left w:val="single" w:sz="8" w:space="0" w:color="D9D9D9"/>
              <w:bottom w:val="single" w:sz="8" w:space="0" w:color="D9D9D9"/>
              <w:right w:val="single" w:sz="8" w:space="0" w:color="D9D9D9"/>
            </w:tcBorders>
          </w:tcPr>
          <w:p w14:paraId="1B015714"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Primary Model (Full Analysis Set)</w:t>
            </w:r>
          </w:p>
        </w:tc>
        <w:tc>
          <w:tcPr>
            <w:tcW w:w="1260" w:type="dxa"/>
            <w:tcBorders>
              <w:top w:val="single" w:sz="8" w:space="0" w:color="D9D9D9"/>
              <w:left w:val="single" w:sz="8" w:space="0" w:color="D9D9D9"/>
              <w:bottom w:val="single" w:sz="8" w:space="0" w:color="D9D9D9"/>
              <w:right w:val="single" w:sz="8" w:space="0" w:color="D9D9D9"/>
            </w:tcBorders>
          </w:tcPr>
          <w:p w14:paraId="1B015715"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687</w:t>
            </w:r>
          </w:p>
        </w:tc>
        <w:tc>
          <w:tcPr>
            <w:tcW w:w="1335" w:type="dxa"/>
            <w:tcBorders>
              <w:top w:val="single" w:sz="8" w:space="0" w:color="D9D9D9"/>
              <w:left w:val="single" w:sz="8" w:space="0" w:color="D9D9D9"/>
              <w:bottom w:val="single" w:sz="8" w:space="0" w:color="D9D9D9"/>
              <w:right w:val="single" w:sz="8" w:space="0" w:color="D9D9D9"/>
            </w:tcBorders>
          </w:tcPr>
          <w:p w14:paraId="1B015716"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6.86</w:t>
            </w:r>
          </w:p>
        </w:tc>
        <w:tc>
          <w:tcPr>
            <w:tcW w:w="1140" w:type="dxa"/>
            <w:tcBorders>
              <w:top w:val="single" w:sz="8" w:space="0" w:color="D9D9D9"/>
              <w:left w:val="single" w:sz="8" w:space="0" w:color="D9D9D9"/>
              <w:bottom w:val="single" w:sz="8" w:space="0" w:color="D9D9D9"/>
              <w:right w:val="single" w:sz="8" w:space="0" w:color="D9D9D9"/>
            </w:tcBorders>
          </w:tcPr>
          <w:p w14:paraId="1B015717"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3.80</w:t>
            </w:r>
          </w:p>
        </w:tc>
        <w:tc>
          <w:tcPr>
            <w:tcW w:w="1080" w:type="dxa"/>
            <w:tcBorders>
              <w:top w:val="single" w:sz="8" w:space="0" w:color="D9D9D9"/>
              <w:left w:val="single" w:sz="8" w:space="0" w:color="D9D9D9"/>
              <w:bottom w:val="single" w:sz="8" w:space="0" w:color="D9D9D9"/>
              <w:right w:val="single" w:sz="8" w:space="0" w:color="D9D9D9"/>
            </w:tcBorders>
          </w:tcPr>
          <w:p w14:paraId="1B015718"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9.92</w:t>
            </w:r>
          </w:p>
        </w:tc>
        <w:tc>
          <w:tcPr>
            <w:tcW w:w="1380" w:type="dxa"/>
            <w:tcBorders>
              <w:top w:val="single" w:sz="8" w:space="0" w:color="D9D9D9"/>
              <w:left w:val="single" w:sz="8" w:space="0" w:color="D9D9D9"/>
              <w:bottom w:val="single" w:sz="8" w:space="0" w:color="D9D9D9"/>
              <w:right w:val="single" w:sz="8" w:space="0" w:color="D9D9D9"/>
            </w:tcBorders>
          </w:tcPr>
          <w:p w14:paraId="1B015719"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&lt;.001</w:t>
            </w:r>
          </w:p>
        </w:tc>
      </w:tr>
      <w:tr w:rsidR="0035362F" w14:paraId="1B015722" w14:textId="77777777">
        <w:tc>
          <w:tcPr>
            <w:tcW w:w="1605" w:type="dxa"/>
            <w:tcBorders>
              <w:top w:val="single" w:sz="8" w:space="0" w:color="D9D9D9"/>
              <w:left w:val="single" w:sz="8" w:space="0" w:color="D9D9D9"/>
              <w:bottom w:val="single" w:sz="8" w:space="0" w:color="D9D9D9"/>
              <w:right w:val="single" w:sz="8" w:space="0" w:color="D9D9D9"/>
            </w:tcBorders>
          </w:tcPr>
          <w:p w14:paraId="1B01571B" w14:textId="77777777" w:rsidR="0035362F" w:rsidRDefault="0035362F">
            <w:pPr>
              <w:widowControl w:val="0"/>
              <w:rPr>
                <w:rFonts w:ascii="Times New Roman" w:eastAsia="Times New Roman" w:hAnsi="Times New Roman" w:cs="Times New Roman"/>
              </w:rPr>
            </w:pPr>
          </w:p>
        </w:tc>
        <w:tc>
          <w:tcPr>
            <w:tcW w:w="1815" w:type="dxa"/>
            <w:tcBorders>
              <w:top w:val="single" w:sz="8" w:space="0" w:color="D9D9D9"/>
              <w:left w:val="single" w:sz="8" w:space="0" w:color="D9D9D9"/>
              <w:bottom w:val="single" w:sz="8" w:space="0" w:color="D9D9D9"/>
              <w:right w:val="single" w:sz="8" w:space="0" w:color="D9D9D9"/>
            </w:tcBorders>
          </w:tcPr>
          <w:p w14:paraId="1B01571C"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Complete-Case Sensitivity</w:t>
            </w:r>
          </w:p>
        </w:tc>
        <w:tc>
          <w:tcPr>
            <w:tcW w:w="1260" w:type="dxa"/>
            <w:tcBorders>
              <w:top w:val="single" w:sz="8" w:space="0" w:color="D9D9D9"/>
              <w:left w:val="single" w:sz="8" w:space="0" w:color="D9D9D9"/>
              <w:bottom w:val="single" w:sz="8" w:space="0" w:color="D9D9D9"/>
              <w:right w:val="single" w:sz="8" w:space="0" w:color="D9D9D9"/>
            </w:tcBorders>
          </w:tcPr>
          <w:p w14:paraId="1B01571D"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599</w:t>
            </w:r>
          </w:p>
        </w:tc>
        <w:tc>
          <w:tcPr>
            <w:tcW w:w="1335" w:type="dxa"/>
            <w:tcBorders>
              <w:top w:val="single" w:sz="8" w:space="0" w:color="D9D9D9"/>
              <w:left w:val="single" w:sz="8" w:space="0" w:color="D9D9D9"/>
              <w:bottom w:val="single" w:sz="8" w:space="0" w:color="D9D9D9"/>
              <w:right w:val="single" w:sz="8" w:space="0" w:color="D9D9D9"/>
            </w:tcBorders>
          </w:tcPr>
          <w:p w14:paraId="1B01571E"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5.87</w:t>
            </w:r>
          </w:p>
        </w:tc>
        <w:tc>
          <w:tcPr>
            <w:tcW w:w="1140" w:type="dxa"/>
            <w:tcBorders>
              <w:top w:val="single" w:sz="8" w:space="0" w:color="D9D9D9"/>
              <w:left w:val="single" w:sz="8" w:space="0" w:color="D9D9D9"/>
              <w:bottom w:val="single" w:sz="8" w:space="0" w:color="D9D9D9"/>
              <w:right w:val="single" w:sz="8" w:space="0" w:color="D9D9D9"/>
            </w:tcBorders>
          </w:tcPr>
          <w:p w14:paraId="1B01571F"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3.45</w:t>
            </w:r>
          </w:p>
        </w:tc>
        <w:tc>
          <w:tcPr>
            <w:tcW w:w="1080" w:type="dxa"/>
            <w:tcBorders>
              <w:top w:val="single" w:sz="8" w:space="0" w:color="D9D9D9"/>
              <w:left w:val="single" w:sz="8" w:space="0" w:color="D9D9D9"/>
              <w:bottom w:val="single" w:sz="8" w:space="0" w:color="D9D9D9"/>
              <w:right w:val="single" w:sz="8" w:space="0" w:color="D9D9D9"/>
            </w:tcBorders>
          </w:tcPr>
          <w:p w14:paraId="1B015720"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8.30</w:t>
            </w:r>
          </w:p>
        </w:tc>
        <w:tc>
          <w:tcPr>
            <w:tcW w:w="1380" w:type="dxa"/>
            <w:tcBorders>
              <w:top w:val="single" w:sz="8" w:space="0" w:color="D9D9D9"/>
              <w:left w:val="single" w:sz="8" w:space="0" w:color="D9D9D9"/>
              <w:bottom w:val="single" w:sz="8" w:space="0" w:color="D9D9D9"/>
              <w:right w:val="single" w:sz="8" w:space="0" w:color="D9D9D9"/>
            </w:tcBorders>
          </w:tcPr>
          <w:p w14:paraId="1B015721"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&lt;.001</w:t>
            </w:r>
          </w:p>
        </w:tc>
      </w:tr>
      <w:tr w:rsidR="0035362F" w14:paraId="1B01572A" w14:textId="77777777">
        <w:tc>
          <w:tcPr>
            <w:tcW w:w="1605" w:type="dxa"/>
            <w:tcBorders>
              <w:top w:val="single" w:sz="8" w:space="0" w:color="D9D9D9"/>
              <w:left w:val="single" w:sz="8" w:space="0" w:color="D9D9D9"/>
              <w:bottom w:val="single" w:sz="8" w:space="0" w:color="D9D9D9"/>
              <w:right w:val="single" w:sz="8" w:space="0" w:color="D9D9D9"/>
            </w:tcBorders>
          </w:tcPr>
          <w:p w14:paraId="1B015723"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ED Utilization (Logistic Regression)</w:t>
            </w:r>
          </w:p>
        </w:tc>
        <w:tc>
          <w:tcPr>
            <w:tcW w:w="1815" w:type="dxa"/>
            <w:tcBorders>
              <w:top w:val="single" w:sz="8" w:space="0" w:color="D9D9D9"/>
              <w:left w:val="single" w:sz="8" w:space="0" w:color="D9D9D9"/>
              <w:bottom w:val="single" w:sz="8" w:space="0" w:color="D9D9D9"/>
              <w:right w:val="single" w:sz="8" w:space="0" w:color="D9D9D9"/>
            </w:tcBorders>
          </w:tcPr>
          <w:p w14:paraId="1B015724"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Primary Model (Full Analysis Set)</w:t>
            </w:r>
          </w:p>
        </w:tc>
        <w:tc>
          <w:tcPr>
            <w:tcW w:w="1260" w:type="dxa"/>
            <w:tcBorders>
              <w:top w:val="single" w:sz="8" w:space="0" w:color="D9D9D9"/>
              <w:left w:val="single" w:sz="8" w:space="0" w:color="D9D9D9"/>
              <w:bottom w:val="single" w:sz="8" w:space="0" w:color="D9D9D9"/>
              <w:right w:val="single" w:sz="8" w:space="0" w:color="D9D9D9"/>
            </w:tcBorders>
          </w:tcPr>
          <w:p w14:paraId="1B015725"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687</w:t>
            </w:r>
          </w:p>
        </w:tc>
        <w:tc>
          <w:tcPr>
            <w:tcW w:w="1335" w:type="dxa"/>
            <w:tcBorders>
              <w:top w:val="single" w:sz="8" w:space="0" w:color="D9D9D9"/>
              <w:left w:val="single" w:sz="8" w:space="0" w:color="D9D9D9"/>
              <w:bottom w:val="single" w:sz="8" w:space="0" w:color="D9D9D9"/>
              <w:right w:val="single" w:sz="8" w:space="0" w:color="D9D9D9"/>
            </w:tcBorders>
          </w:tcPr>
          <w:p w14:paraId="1B015726"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0.43</w:t>
            </w:r>
          </w:p>
        </w:tc>
        <w:tc>
          <w:tcPr>
            <w:tcW w:w="1140" w:type="dxa"/>
            <w:tcBorders>
              <w:top w:val="single" w:sz="8" w:space="0" w:color="D9D9D9"/>
              <w:left w:val="single" w:sz="8" w:space="0" w:color="D9D9D9"/>
              <w:bottom w:val="single" w:sz="8" w:space="0" w:color="D9D9D9"/>
              <w:right w:val="single" w:sz="8" w:space="0" w:color="D9D9D9"/>
            </w:tcBorders>
          </w:tcPr>
          <w:p w14:paraId="1B015727"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0.24</w:t>
            </w:r>
          </w:p>
        </w:tc>
        <w:tc>
          <w:tcPr>
            <w:tcW w:w="1080" w:type="dxa"/>
            <w:tcBorders>
              <w:top w:val="single" w:sz="8" w:space="0" w:color="D9D9D9"/>
              <w:left w:val="single" w:sz="8" w:space="0" w:color="D9D9D9"/>
              <w:bottom w:val="single" w:sz="8" w:space="0" w:color="D9D9D9"/>
              <w:right w:val="single" w:sz="8" w:space="0" w:color="D9D9D9"/>
            </w:tcBorders>
          </w:tcPr>
          <w:p w14:paraId="1B015728"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0.76</w:t>
            </w:r>
          </w:p>
        </w:tc>
        <w:tc>
          <w:tcPr>
            <w:tcW w:w="1380" w:type="dxa"/>
            <w:tcBorders>
              <w:top w:val="single" w:sz="8" w:space="0" w:color="D9D9D9"/>
              <w:left w:val="single" w:sz="8" w:space="0" w:color="D9D9D9"/>
              <w:bottom w:val="single" w:sz="8" w:space="0" w:color="D9D9D9"/>
              <w:right w:val="single" w:sz="8" w:space="0" w:color="D9D9D9"/>
            </w:tcBorders>
          </w:tcPr>
          <w:p w14:paraId="1B015729"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0.004</w:t>
            </w:r>
          </w:p>
        </w:tc>
      </w:tr>
      <w:tr w:rsidR="0035362F" w14:paraId="1B015732" w14:textId="77777777">
        <w:tc>
          <w:tcPr>
            <w:tcW w:w="1605" w:type="dxa"/>
            <w:tcBorders>
              <w:top w:val="single" w:sz="8" w:space="0" w:color="D9D9D9"/>
              <w:left w:val="single" w:sz="8" w:space="0" w:color="D9D9D9"/>
              <w:bottom w:val="single" w:sz="8" w:space="0" w:color="D9D9D9"/>
              <w:right w:val="single" w:sz="8" w:space="0" w:color="D9D9D9"/>
            </w:tcBorders>
          </w:tcPr>
          <w:p w14:paraId="1B01572B" w14:textId="77777777" w:rsidR="0035362F" w:rsidRDefault="0035362F">
            <w:pPr>
              <w:widowControl w:val="0"/>
              <w:rPr>
                <w:rFonts w:ascii="Times New Roman" w:eastAsia="Times New Roman" w:hAnsi="Times New Roman" w:cs="Times New Roman"/>
              </w:rPr>
            </w:pPr>
          </w:p>
        </w:tc>
        <w:tc>
          <w:tcPr>
            <w:tcW w:w="1815" w:type="dxa"/>
            <w:tcBorders>
              <w:top w:val="single" w:sz="8" w:space="0" w:color="D9D9D9"/>
              <w:left w:val="single" w:sz="8" w:space="0" w:color="D9D9D9"/>
              <w:bottom w:val="single" w:sz="8" w:space="0" w:color="D9D9D9"/>
              <w:right w:val="single" w:sz="8" w:space="0" w:color="D9D9D9"/>
            </w:tcBorders>
          </w:tcPr>
          <w:p w14:paraId="1B01572C"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Complete-Case Sensitivity</w:t>
            </w:r>
          </w:p>
        </w:tc>
        <w:tc>
          <w:tcPr>
            <w:tcW w:w="1260" w:type="dxa"/>
            <w:tcBorders>
              <w:top w:val="single" w:sz="8" w:space="0" w:color="D9D9D9"/>
              <w:left w:val="single" w:sz="8" w:space="0" w:color="D9D9D9"/>
              <w:bottom w:val="single" w:sz="8" w:space="0" w:color="D9D9D9"/>
              <w:right w:val="single" w:sz="8" w:space="0" w:color="D9D9D9"/>
            </w:tcBorders>
          </w:tcPr>
          <w:p w14:paraId="1B01572D"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599</w:t>
            </w:r>
          </w:p>
        </w:tc>
        <w:tc>
          <w:tcPr>
            <w:tcW w:w="1335" w:type="dxa"/>
            <w:tcBorders>
              <w:top w:val="single" w:sz="8" w:space="0" w:color="D9D9D9"/>
              <w:left w:val="single" w:sz="8" w:space="0" w:color="D9D9D9"/>
              <w:bottom w:val="single" w:sz="8" w:space="0" w:color="D9D9D9"/>
              <w:right w:val="single" w:sz="8" w:space="0" w:color="D9D9D9"/>
            </w:tcBorders>
          </w:tcPr>
          <w:p w14:paraId="1B01572E"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0.37</w:t>
            </w:r>
          </w:p>
        </w:tc>
        <w:tc>
          <w:tcPr>
            <w:tcW w:w="1140" w:type="dxa"/>
            <w:tcBorders>
              <w:top w:val="single" w:sz="8" w:space="0" w:color="D9D9D9"/>
              <w:left w:val="single" w:sz="8" w:space="0" w:color="D9D9D9"/>
              <w:bottom w:val="single" w:sz="8" w:space="0" w:color="D9D9D9"/>
              <w:right w:val="single" w:sz="8" w:space="0" w:color="D9D9D9"/>
            </w:tcBorders>
          </w:tcPr>
          <w:p w14:paraId="1B01572F"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0.17</w:t>
            </w:r>
          </w:p>
        </w:tc>
        <w:tc>
          <w:tcPr>
            <w:tcW w:w="1080" w:type="dxa"/>
            <w:tcBorders>
              <w:top w:val="single" w:sz="8" w:space="0" w:color="D9D9D9"/>
              <w:left w:val="single" w:sz="8" w:space="0" w:color="D9D9D9"/>
              <w:bottom w:val="single" w:sz="8" w:space="0" w:color="D9D9D9"/>
              <w:right w:val="single" w:sz="8" w:space="0" w:color="D9D9D9"/>
            </w:tcBorders>
          </w:tcPr>
          <w:p w14:paraId="1B015730"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0.76</w:t>
            </w:r>
          </w:p>
        </w:tc>
        <w:tc>
          <w:tcPr>
            <w:tcW w:w="1380" w:type="dxa"/>
            <w:tcBorders>
              <w:top w:val="single" w:sz="8" w:space="0" w:color="D9D9D9"/>
              <w:left w:val="single" w:sz="8" w:space="0" w:color="D9D9D9"/>
              <w:bottom w:val="single" w:sz="8" w:space="0" w:color="D9D9D9"/>
              <w:right w:val="single" w:sz="8" w:space="0" w:color="D9D9D9"/>
            </w:tcBorders>
          </w:tcPr>
          <w:p w14:paraId="1B015731"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0.010</w:t>
            </w:r>
          </w:p>
        </w:tc>
      </w:tr>
    </w:tbl>
    <w:p w14:paraId="1B015733" w14:textId="77777777" w:rsidR="0035362F" w:rsidRDefault="008A5410">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Abbreviations: CI = Confidence Interval; ED = Emergency Department; PFS = Physical Functioning Scale (SF-36). </w:t>
      </w:r>
    </w:p>
    <w:p w14:paraId="583EC096" w14:textId="7AD75DE1" w:rsidR="006D7E62" w:rsidRDefault="008A5410">
      <w:pPr>
        <w:rPr>
          <w:rFonts w:ascii="Times New Roman" w:eastAsia="Times New Roman" w:hAnsi="Times New Roman" w:cs="Times New Roman"/>
          <w:b/>
          <w:bCs/>
          <w:sz w:val="24"/>
          <w:szCs w:val="24"/>
        </w:rPr>
      </w:pPr>
      <w:r>
        <w:rPr>
          <w:rFonts w:ascii="Times New Roman" w:eastAsia="Times New Roman" w:hAnsi="Times New Roman" w:cs="Times New Roman"/>
          <w:sz w:val="18"/>
          <w:szCs w:val="18"/>
        </w:rPr>
        <w:t xml:space="preserve">Effect estimates for Fall Rate represent the Adjusted Incidence Rate Ratio (IRR); estimates for Physical Function represent the </w:t>
      </w:r>
      <w:r>
        <w:rPr>
          <w:rFonts w:ascii="Times New Roman" w:eastAsia="Times New Roman" w:hAnsi="Times New Roman" w:cs="Times New Roman"/>
          <w:sz w:val="16"/>
          <w:szCs w:val="16"/>
        </w:rPr>
        <w:t>β</w:t>
      </w:r>
      <w:r>
        <w:rPr>
          <w:rFonts w:ascii="Times New Roman" w:eastAsia="Times New Roman" w:hAnsi="Times New Roman" w:cs="Times New Roman"/>
          <w:sz w:val="18"/>
          <w:szCs w:val="18"/>
        </w:rPr>
        <w:t xml:space="preserve"> coefficient for the group x time interaction; estimates for ED utilization represent the Adjusted Odds Ratio (OR). Complete-case sample is restricted to participants with observed month 3 data (n=599). Primary models utilize the full analysis set with missing data handles via multiple </w:t>
      </w:r>
      <w:proofErr w:type="gramStart"/>
      <w:r>
        <w:rPr>
          <w:rFonts w:ascii="Times New Roman" w:eastAsia="Times New Roman" w:hAnsi="Times New Roman" w:cs="Times New Roman"/>
          <w:sz w:val="18"/>
          <w:szCs w:val="18"/>
        </w:rPr>
        <w:t>imputation</w:t>
      </w:r>
      <w:proofErr w:type="gramEnd"/>
      <w:r>
        <w:rPr>
          <w:rFonts w:ascii="Times New Roman" w:eastAsia="Times New Roman" w:hAnsi="Times New Roman" w:cs="Times New Roman"/>
          <w:sz w:val="18"/>
          <w:szCs w:val="18"/>
        </w:rPr>
        <w:t xml:space="preserve"> (n=687). All models are adjusted for age, gender, comorbidities, baseline fall count, baseline short FES-I, and baseline STEADI score.</w:t>
      </w:r>
      <w:r w:rsidR="006D7E62">
        <w:rPr>
          <w:rFonts w:ascii="Times New Roman" w:eastAsia="Times New Roman" w:hAnsi="Times New Roman" w:cs="Times New Roman"/>
          <w:b/>
          <w:bCs/>
          <w:sz w:val="24"/>
          <w:szCs w:val="24"/>
        </w:rPr>
        <w:br w:type="page"/>
      </w:r>
    </w:p>
    <w:p w14:paraId="1B015737" w14:textId="2B4D86F2" w:rsidR="0035362F" w:rsidRDefault="008A5410">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Table S2.</w:t>
      </w:r>
      <w:r>
        <w:rPr>
          <w:rFonts w:ascii="Times New Roman" w:eastAsia="Times New Roman" w:hAnsi="Times New Roman" w:cs="Times New Roman"/>
          <w:sz w:val="24"/>
          <w:szCs w:val="24"/>
        </w:rPr>
        <w:t xml:space="preserve"> Worst-Case Imputation Sensitivity Analysis</w:t>
      </w:r>
    </w:p>
    <w:tbl>
      <w:tblPr>
        <w:tblStyle w:val="a4"/>
        <w:tblW w:w="96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05"/>
        <w:gridCol w:w="1815"/>
        <w:gridCol w:w="1260"/>
        <w:gridCol w:w="1335"/>
        <w:gridCol w:w="1140"/>
        <w:gridCol w:w="1080"/>
        <w:gridCol w:w="1380"/>
      </w:tblGrid>
      <w:tr w:rsidR="0035362F" w14:paraId="1B01573F" w14:textId="77777777">
        <w:tc>
          <w:tcPr>
            <w:tcW w:w="1605" w:type="dxa"/>
            <w:tcBorders>
              <w:top w:val="single" w:sz="8" w:space="0" w:color="D9D9D9"/>
              <w:left w:val="single" w:sz="8" w:space="0" w:color="D9D9D9"/>
              <w:bottom w:val="single" w:sz="8" w:space="0" w:color="D9D9D9"/>
              <w:right w:val="single" w:sz="8" w:space="0" w:color="D9D9D9"/>
            </w:tcBorders>
          </w:tcPr>
          <w:p w14:paraId="1B015738" w14:textId="77777777" w:rsidR="0035362F" w:rsidRDefault="008A5410">
            <w:pPr>
              <w:widowControl w:val="0"/>
              <w:jc w:val="center"/>
              <w:rPr>
                <w:rFonts w:ascii="Times New Roman" w:eastAsia="Times New Roman" w:hAnsi="Times New Roman" w:cs="Times New Roman"/>
                <w:b/>
                <w:bCs/>
              </w:rPr>
            </w:pPr>
            <w:r>
              <w:rPr>
                <w:rFonts w:ascii="Times New Roman" w:eastAsia="Times New Roman" w:hAnsi="Times New Roman" w:cs="Times New Roman"/>
                <w:b/>
                <w:bCs/>
              </w:rPr>
              <w:t>Outcome Measure</w:t>
            </w:r>
          </w:p>
        </w:tc>
        <w:tc>
          <w:tcPr>
            <w:tcW w:w="1815" w:type="dxa"/>
            <w:tcBorders>
              <w:top w:val="single" w:sz="8" w:space="0" w:color="D9D9D9"/>
              <w:left w:val="single" w:sz="8" w:space="0" w:color="D9D9D9"/>
              <w:bottom w:val="single" w:sz="8" w:space="0" w:color="D9D9D9"/>
              <w:right w:val="single" w:sz="8" w:space="0" w:color="D9D9D9"/>
            </w:tcBorders>
          </w:tcPr>
          <w:p w14:paraId="1B015739" w14:textId="77777777" w:rsidR="0035362F" w:rsidRDefault="008A5410">
            <w:pPr>
              <w:widowControl w:val="0"/>
              <w:jc w:val="center"/>
              <w:rPr>
                <w:rFonts w:ascii="Times New Roman" w:eastAsia="Times New Roman" w:hAnsi="Times New Roman" w:cs="Times New Roman"/>
                <w:b/>
                <w:bCs/>
              </w:rPr>
            </w:pPr>
            <w:r>
              <w:rPr>
                <w:rFonts w:ascii="Times New Roman" w:eastAsia="Times New Roman" w:hAnsi="Times New Roman" w:cs="Times New Roman"/>
                <w:b/>
                <w:bCs/>
              </w:rPr>
              <w:t xml:space="preserve">Statistical Model </w:t>
            </w:r>
          </w:p>
        </w:tc>
        <w:tc>
          <w:tcPr>
            <w:tcW w:w="1260" w:type="dxa"/>
            <w:tcBorders>
              <w:top w:val="single" w:sz="8" w:space="0" w:color="D9D9D9"/>
              <w:left w:val="single" w:sz="8" w:space="0" w:color="D9D9D9"/>
              <w:bottom w:val="single" w:sz="8" w:space="0" w:color="D9D9D9"/>
              <w:right w:val="single" w:sz="8" w:space="0" w:color="D9D9D9"/>
            </w:tcBorders>
          </w:tcPr>
          <w:p w14:paraId="1B01573A" w14:textId="77777777" w:rsidR="0035362F" w:rsidRDefault="008A5410">
            <w:pPr>
              <w:widowControl w:val="0"/>
              <w:jc w:val="center"/>
              <w:rPr>
                <w:rFonts w:ascii="Times New Roman" w:eastAsia="Times New Roman" w:hAnsi="Times New Roman" w:cs="Times New Roman"/>
                <w:b/>
                <w:bCs/>
                <w:vertAlign w:val="superscript"/>
              </w:rPr>
            </w:pPr>
            <w:r>
              <w:rPr>
                <w:rFonts w:ascii="Times New Roman" w:eastAsia="Times New Roman" w:hAnsi="Times New Roman" w:cs="Times New Roman"/>
                <w:b/>
                <w:bCs/>
              </w:rPr>
              <w:t>N</w:t>
            </w:r>
          </w:p>
        </w:tc>
        <w:tc>
          <w:tcPr>
            <w:tcW w:w="1335" w:type="dxa"/>
            <w:tcBorders>
              <w:top w:val="single" w:sz="8" w:space="0" w:color="D9D9D9"/>
              <w:left w:val="single" w:sz="8" w:space="0" w:color="D9D9D9"/>
              <w:bottom w:val="single" w:sz="8" w:space="0" w:color="D9D9D9"/>
              <w:right w:val="single" w:sz="8" w:space="0" w:color="D9D9D9"/>
            </w:tcBorders>
          </w:tcPr>
          <w:p w14:paraId="1B01573B" w14:textId="77777777" w:rsidR="0035362F" w:rsidRDefault="008A5410">
            <w:pPr>
              <w:widowControl w:val="0"/>
              <w:jc w:val="center"/>
              <w:rPr>
                <w:rFonts w:ascii="Times New Roman" w:eastAsia="Times New Roman" w:hAnsi="Times New Roman" w:cs="Times New Roman"/>
                <w:b/>
                <w:bCs/>
                <w:vertAlign w:val="superscript"/>
              </w:rPr>
            </w:pPr>
            <w:r>
              <w:rPr>
                <w:rFonts w:ascii="Times New Roman" w:eastAsia="Times New Roman" w:hAnsi="Times New Roman" w:cs="Times New Roman"/>
                <w:b/>
                <w:bCs/>
              </w:rPr>
              <w:t>Effect Estimate</w:t>
            </w:r>
          </w:p>
        </w:tc>
        <w:tc>
          <w:tcPr>
            <w:tcW w:w="1140" w:type="dxa"/>
            <w:tcBorders>
              <w:top w:val="single" w:sz="8" w:space="0" w:color="D9D9D9"/>
              <w:left w:val="single" w:sz="8" w:space="0" w:color="D9D9D9"/>
              <w:bottom w:val="single" w:sz="8" w:space="0" w:color="D9D9D9"/>
              <w:right w:val="single" w:sz="8" w:space="0" w:color="D9D9D9"/>
            </w:tcBorders>
          </w:tcPr>
          <w:p w14:paraId="1B01573C" w14:textId="77777777" w:rsidR="0035362F" w:rsidRDefault="008A5410">
            <w:pPr>
              <w:widowControl w:val="0"/>
              <w:jc w:val="center"/>
              <w:rPr>
                <w:rFonts w:ascii="Times New Roman" w:eastAsia="Times New Roman" w:hAnsi="Times New Roman" w:cs="Times New Roman"/>
                <w:b/>
                <w:bCs/>
              </w:rPr>
            </w:pPr>
            <w:r>
              <w:rPr>
                <w:rFonts w:ascii="Times New Roman" w:eastAsia="Times New Roman" w:hAnsi="Times New Roman" w:cs="Times New Roman"/>
                <w:b/>
                <w:bCs/>
              </w:rPr>
              <w:t>95% CI (Lower)</w:t>
            </w:r>
          </w:p>
        </w:tc>
        <w:tc>
          <w:tcPr>
            <w:tcW w:w="1080" w:type="dxa"/>
            <w:tcBorders>
              <w:top w:val="single" w:sz="8" w:space="0" w:color="D9D9D9"/>
              <w:left w:val="single" w:sz="8" w:space="0" w:color="D9D9D9"/>
              <w:bottom w:val="single" w:sz="8" w:space="0" w:color="D9D9D9"/>
              <w:right w:val="single" w:sz="8" w:space="0" w:color="D9D9D9"/>
            </w:tcBorders>
          </w:tcPr>
          <w:p w14:paraId="1B01573D" w14:textId="77777777" w:rsidR="0035362F" w:rsidRDefault="008A5410">
            <w:pPr>
              <w:widowControl w:val="0"/>
              <w:jc w:val="center"/>
              <w:rPr>
                <w:rFonts w:ascii="Times New Roman" w:eastAsia="Times New Roman" w:hAnsi="Times New Roman" w:cs="Times New Roman"/>
                <w:b/>
                <w:bCs/>
              </w:rPr>
            </w:pPr>
            <w:r>
              <w:rPr>
                <w:rFonts w:ascii="Times New Roman" w:eastAsia="Times New Roman" w:hAnsi="Times New Roman" w:cs="Times New Roman"/>
                <w:b/>
                <w:bCs/>
              </w:rPr>
              <w:t>95% CI (Upper)</w:t>
            </w:r>
          </w:p>
        </w:tc>
        <w:tc>
          <w:tcPr>
            <w:tcW w:w="1380" w:type="dxa"/>
            <w:tcBorders>
              <w:top w:val="single" w:sz="8" w:space="0" w:color="D9D9D9"/>
              <w:left w:val="single" w:sz="8" w:space="0" w:color="D9D9D9"/>
              <w:bottom w:val="single" w:sz="8" w:space="0" w:color="D9D9D9"/>
              <w:right w:val="single" w:sz="8" w:space="0" w:color="D9D9D9"/>
            </w:tcBorders>
          </w:tcPr>
          <w:p w14:paraId="1B01573E" w14:textId="77777777" w:rsidR="0035362F" w:rsidRDefault="008A5410">
            <w:pPr>
              <w:widowControl w:val="0"/>
              <w:jc w:val="center"/>
              <w:rPr>
                <w:rFonts w:ascii="Times New Roman" w:eastAsia="Times New Roman" w:hAnsi="Times New Roman" w:cs="Times New Roman"/>
                <w:b/>
                <w:bCs/>
              </w:rPr>
            </w:pPr>
            <w:r>
              <w:rPr>
                <w:rFonts w:ascii="Times New Roman" w:eastAsia="Times New Roman" w:hAnsi="Times New Roman" w:cs="Times New Roman"/>
                <w:b/>
                <w:bCs/>
                <w:i/>
                <w:iCs/>
              </w:rPr>
              <w:t>P</w:t>
            </w:r>
            <w:r>
              <w:rPr>
                <w:rFonts w:ascii="Times New Roman" w:eastAsia="Times New Roman" w:hAnsi="Times New Roman" w:cs="Times New Roman"/>
                <w:b/>
                <w:bCs/>
              </w:rPr>
              <w:t xml:space="preserve"> value </w:t>
            </w:r>
          </w:p>
        </w:tc>
      </w:tr>
      <w:tr w:rsidR="0035362F" w14:paraId="1B015747" w14:textId="77777777">
        <w:tc>
          <w:tcPr>
            <w:tcW w:w="1605" w:type="dxa"/>
            <w:tcBorders>
              <w:top w:val="single" w:sz="8" w:space="0" w:color="D9D9D9"/>
              <w:left w:val="single" w:sz="8" w:space="0" w:color="D9D9D9"/>
              <w:bottom w:val="single" w:sz="8" w:space="0" w:color="D9D9D9"/>
              <w:right w:val="single" w:sz="8" w:space="0" w:color="D9D9D9"/>
            </w:tcBorders>
          </w:tcPr>
          <w:p w14:paraId="1B015740"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 xml:space="preserve">Fall Rate (Negative Binomial) </w:t>
            </w:r>
          </w:p>
        </w:tc>
        <w:tc>
          <w:tcPr>
            <w:tcW w:w="1815" w:type="dxa"/>
            <w:tcBorders>
              <w:top w:val="single" w:sz="8" w:space="0" w:color="D9D9D9"/>
              <w:left w:val="single" w:sz="8" w:space="0" w:color="D9D9D9"/>
              <w:bottom w:val="single" w:sz="8" w:space="0" w:color="D9D9D9"/>
              <w:right w:val="single" w:sz="8" w:space="0" w:color="D9D9D9"/>
            </w:tcBorders>
          </w:tcPr>
          <w:p w14:paraId="1B015741"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Primary Model (Full Analysis Set)</w:t>
            </w:r>
          </w:p>
        </w:tc>
        <w:tc>
          <w:tcPr>
            <w:tcW w:w="1260" w:type="dxa"/>
            <w:tcBorders>
              <w:top w:val="single" w:sz="8" w:space="0" w:color="D9D9D9"/>
              <w:left w:val="single" w:sz="8" w:space="0" w:color="D9D9D9"/>
              <w:bottom w:val="single" w:sz="8" w:space="0" w:color="D9D9D9"/>
              <w:right w:val="single" w:sz="8" w:space="0" w:color="D9D9D9"/>
            </w:tcBorders>
          </w:tcPr>
          <w:p w14:paraId="1B015742"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687</w:t>
            </w:r>
          </w:p>
        </w:tc>
        <w:tc>
          <w:tcPr>
            <w:tcW w:w="1335" w:type="dxa"/>
            <w:tcBorders>
              <w:top w:val="single" w:sz="8" w:space="0" w:color="D9D9D9"/>
              <w:left w:val="single" w:sz="8" w:space="0" w:color="D9D9D9"/>
              <w:bottom w:val="single" w:sz="8" w:space="0" w:color="D9D9D9"/>
              <w:right w:val="single" w:sz="8" w:space="0" w:color="D9D9D9"/>
            </w:tcBorders>
          </w:tcPr>
          <w:p w14:paraId="1B015743"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0.63</w:t>
            </w:r>
          </w:p>
        </w:tc>
        <w:tc>
          <w:tcPr>
            <w:tcW w:w="1140" w:type="dxa"/>
            <w:tcBorders>
              <w:top w:val="single" w:sz="8" w:space="0" w:color="D9D9D9"/>
              <w:left w:val="single" w:sz="8" w:space="0" w:color="D9D9D9"/>
              <w:bottom w:val="single" w:sz="8" w:space="0" w:color="D9D9D9"/>
              <w:right w:val="single" w:sz="8" w:space="0" w:color="D9D9D9"/>
            </w:tcBorders>
          </w:tcPr>
          <w:p w14:paraId="1B015744"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0.48</w:t>
            </w:r>
          </w:p>
        </w:tc>
        <w:tc>
          <w:tcPr>
            <w:tcW w:w="1080" w:type="dxa"/>
            <w:tcBorders>
              <w:top w:val="single" w:sz="8" w:space="0" w:color="D9D9D9"/>
              <w:left w:val="single" w:sz="8" w:space="0" w:color="D9D9D9"/>
              <w:bottom w:val="single" w:sz="8" w:space="0" w:color="D9D9D9"/>
              <w:right w:val="single" w:sz="8" w:space="0" w:color="D9D9D9"/>
            </w:tcBorders>
          </w:tcPr>
          <w:p w14:paraId="1B015745"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0.82</w:t>
            </w:r>
          </w:p>
        </w:tc>
        <w:tc>
          <w:tcPr>
            <w:tcW w:w="1380" w:type="dxa"/>
            <w:tcBorders>
              <w:top w:val="single" w:sz="8" w:space="0" w:color="D9D9D9"/>
              <w:left w:val="single" w:sz="8" w:space="0" w:color="D9D9D9"/>
              <w:bottom w:val="single" w:sz="8" w:space="0" w:color="D9D9D9"/>
              <w:right w:val="single" w:sz="8" w:space="0" w:color="D9D9D9"/>
            </w:tcBorders>
          </w:tcPr>
          <w:p w14:paraId="1B015746"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&lt;.001</w:t>
            </w:r>
          </w:p>
        </w:tc>
      </w:tr>
      <w:tr w:rsidR="0035362F" w14:paraId="1B01574F" w14:textId="77777777">
        <w:tc>
          <w:tcPr>
            <w:tcW w:w="1605" w:type="dxa"/>
            <w:tcBorders>
              <w:top w:val="single" w:sz="8" w:space="0" w:color="D9D9D9"/>
              <w:left w:val="single" w:sz="8" w:space="0" w:color="D9D9D9"/>
              <w:bottom w:val="single" w:sz="8" w:space="0" w:color="D9D9D9"/>
              <w:right w:val="single" w:sz="8" w:space="0" w:color="D9D9D9"/>
            </w:tcBorders>
          </w:tcPr>
          <w:p w14:paraId="1B015748" w14:textId="77777777" w:rsidR="0035362F" w:rsidRDefault="0035362F">
            <w:pPr>
              <w:widowControl w:val="0"/>
              <w:rPr>
                <w:rFonts w:ascii="Times New Roman" w:eastAsia="Times New Roman" w:hAnsi="Times New Roman" w:cs="Times New Roman"/>
              </w:rPr>
            </w:pPr>
          </w:p>
        </w:tc>
        <w:tc>
          <w:tcPr>
            <w:tcW w:w="1815" w:type="dxa"/>
            <w:tcBorders>
              <w:top w:val="single" w:sz="8" w:space="0" w:color="D9D9D9"/>
              <w:left w:val="single" w:sz="8" w:space="0" w:color="D9D9D9"/>
              <w:bottom w:val="single" w:sz="8" w:space="0" w:color="D9D9D9"/>
              <w:right w:val="single" w:sz="8" w:space="0" w:color="D9D9D9"/>
            </w:tcBorders>
          </w:tcPr>
          <w:p w14:paraId="1B015749" w14:textId="77777777" w:rsidR="0035362F" w:rsidRDefault="008A5410">
            <w:pPr>
              <w:widowControl w:val="0"/>
              <w:rPr>
                <w:rFonts w:ascii="Times New Roman" w:eastAsia="Times New Roman" w:hAnsi="Times New Roman" w:cs="Times New Roman"/>
                <w:vertAlign w:val="superscript"/>
              </w:rPr>
            </w:pPr>
            <w:r>
              <w:rPr>
                <w:rFonts w:ascii="Times New Roman" w:eastAsia="Times New Roman" w:hAnsi="Times New Roman" w:cs="Times New Roman"/>
              </w:rPr>
              <w:t>Worst-Case Sensitivity Model</w:t>
            </w:r>
            <w:r>
              <w:rPr>
                <w:rFonts w:ascii="Times New Roman" w:eastAsia="Times New Roman" w:hAnsi="Times New Roman" w:cs="Times New Roman"/>
                <w:vertAlign w:val="superscript"/>
              </w:rPr>
              <w:t>1</w:t>
            </w:r>
          </w:p>
        </w:tc>
        <w:tc>
          <w:tcPr>
            <w:tcW w:w="1260" w:type="dxa"/>
            <w:tcBorders>
              <w:top w:val="single" w:sz="8" w:space="0" w:color="D9D9D9"/>
              <w:left w:val="single" w:sz="8" w:space="0" w:color="D9D9D9"/>
              <w:bottom w:val="single" w:sz="8" w:space="0" w:color="D9D9D9"/>
              <w:right w:val="single" w:sz="8" w:space="0" w:color="D9D9D9"/>
            </w:tcBorders>
          </w:tcPr>
          <w:p w14:paraId="1B01574A"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687</w:t>
            </w:r>
          </w:p>
        </w:tc>
        <w:tc>
          <w:tcPr>
            <w:tcW w:w="1335" w:type="dxa"/>
            <w:tcBorders>
              <w:top w:val="single" w:sz="8" w:space="0" w:color="D9D9D9"/>
              <w:left w:val="single" w:sz="8" w:space="0" w:color="D9D9D9"/>
              <w:bottom w:val="single" w:sz="8" w:space="0" w:color="D9D9D9"/>
              <w:right w:val="single" w:sz="8" w:space="0" w:color="D9D9D9"/>
            </w:tcBorders>
          </w:tcPr>
          <w:p w14:paraId="1B01574B"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2.86</w:t>
            </w:r>
          </w:p>
        </w:tc>
        <w:tc>
          <w:tcPr>
            <w:tcW w:w="1140" w:type="dxa"/>
            <w:tcBorders>
              <w:top w:val="single" w:sz="8" w:space="0" w:color="D9D9D9"/>
              <w:left w:val="single" w:sz="8" w:space="0" w:color="D9D9D9"/>
              <w:bottom w:val="single" w:sz="8" w:space="0" w:color="D9D9D9"/>
              <w:right w:val="single" w:sz="8" w:space="0" w:color="D9D9D9"/>
            </w:tcBorders>
          </w:tcPr>
          <w:p w14:paraId="1B01574C"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2.12</w:t>
            </w:r>
          </w:p>
        </w:tc>
        <w:tc>
          <w:tcPr>
            <w:tcW w:w="1080" w:type="dxa"/>
            <w:tcBorders>
              <w:top w:val="single" w:sz="8" w:space="0" w:color="D9D9D9"/>
              <w:left w:val="single" w:sz="8" w:space="0" w:color="D9D9D9"/>
              <w:bottom w:val="single" w:sz="8" w:space="0" w:color="D9D9D9"/>
              <w:right w:val="single" w:sz="8" w:space="0" w:color="D9D9D9"/>
            </w:tcBorders>
          </w:tcPr>
          <w:p w14:paraId="1B01574D"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3.86</w:t>
            </w:r>
          </w:p>
        </w:tc>
        <w:tc>
          <w:tcPr>
            <w:tcW w:w="1380" w:type="dxa"/>
            <w:tcBorders>
              <w:top w:val="single" w:sz="8" w:space="0" w:color="D9D9D9"/>
              <w:left w:val="single" w:sz="8" w:space="0" w:color="D9D9D9"/>
              <w:bottom w:val="single" w:sz="8" w:space="0" w:color="D9D9D9"/>
              <w:right w:val="single" w:sz="8" w:space="0" w:color="D9D9D9"/>
            </w:tcBorders>
          </w:tcPr>
          <w:p w14:paraId="1B01574E"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&lt;.001</w:t>
            </w:r>
          </w:p>
        </w:tc>
      </w:tr>
      <w:tr w:rsidR="0035362F" w14:paraId="1B015757" w14:textId="77777777">
        <w:tc>
          <w:tcPr>
            <w:tcW w:w="1605" w:type="dxa"/>
            <w:tcBorders>
              <w:top w:val="single" w:sz="8" w:space="0" w:color="D9D9D9"/>
              <w:left w:val="single" w:sz="8" w:space="0" w:color="D9D9D9"/>
              <w:bottom w:val="single" w:sz="8" w:space="0" w:color="D9D9D9"/>
              <w:right w:val="single" w:sz="8" w:space="0" w:color="D9D9D9"/>
            </w:tcBorders>
          </w:tcPr>
          <w:p w14:paraId="1B015750"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Physical Function (PFS) (Linear Mixed-Effects Model)</w:t>
            </w:r>
          </w:p>
        </w:tc>
        <w:tc>
          <w:tcPr>
            <w:tcW w:w="1815" w:type="dxa"/>
            <w:tcBorders>
              <w:top w:val="single" w:sz="8" w:space="0" w:color="D9D9D9"/>
              <w:left w:val="single" w:sz="8" w:space="0" w:color="D9D9D9"/>
              <w:bottom w:val="single" w:sz="8" w:space="0" w:color="D9D9D9"/>
              <w:right w:val="single" w:sz="8" w:space="0" w:color="D9D9D9"/>
            </w:tcBorders>
          </w:tcPr>
          <w:p w14:paraId="1B015751"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Primary Model (Full Analysis Set)</w:t>
            </w:r>
          </w:p>
        </w:tc>
        <w:tc>
          <w:tcPr>
            <w:tcW w:w="1260" w:type="dxa"/>
            <w:tcBorders>
              <w:top w:val="single" w:sz="8" w:space="0" w:color="D9D9D9"/>
              <w:left w:val="single" w:sz="8" w:space="0" w:color="D9D9D9"/>
              <w:bottom w:val="single" w:sz="8" w:space="0" w:color="D9D9D9"/>
              <w:right w:val="single" w:sz="8" w:space="0" w:color="D9D9D9"/>
            </w:tcBorders>
          </w:tcPr>
          <w:p w14:paraId="1B015752"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687</w:t>
            </w:r>
          </w:p>
        </w:tc>
        <w:tc>
          <w:tcPr>
            <w:tcW w:w="1335" w:type="dxa"/>
            <w:tcBorders>
              <w:top w:val="single" w:sz="8" w:space="0" w:color="D9D9D9"/>
              <w:left w:val="single" w:sz="8" w:space="0" w:color="D9D9D9"/>
              <w:bottom w:val="single" w:sz="8" w:space="0" w:color="D9D9D9"/>
              <w:right w:val="single" w:sz="8" w:space="0" w:color="D9D9D9"/>
            </w:tcBorders>
          </w:tcPr>
          <w:p w14:paraId="1B015753"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6.86</w:t>
            </w:r>
          </w:p>
        </w:tc>
        <w:tc>
          <w:tcPr>
            <w:tcW w:w="1140" w:type="dxa"/>
            <w:tcBorders>
              <w:top w:val="single" w:sz="8" w:space="0" w:color="D9D9D9"/>
              <w:left w:val="single" w:sz="8" w:space="0" w:color="D9D9D9"/>
              <w:bottom w:val="single" w:sz="8" w:space="0" w:color="D9D9D9"/>
              <w:right w:val="single" w:sz="8" w:space="0" w:color="D9D9D9"/>
            </w:tcBorders>
          </w:tcPr>
          <w:p w14:paraId="1B015754"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3.80</w:t>
            </w:r>
          </w:p>
        </w:tc>
        <w:tc>
          <w:tcPr>
            <w:tcW w:w="1080" w:type="dxa"/>
            <w:tcBorders>
              <w:top w:val="single" w:sz="8" w:space="0" w:color="D9D9D9"/>
              <w:left w:val="single" w:sz="8" w:space="0" w:color="D9D9D9"/>
              <w:bottom w:val="single" w:sz="8" w:space="0" w:color="D9D9D9"/>
              <w:right w:val="single" w:sz="8" w:space="0" w:color="D9D9D9"/>
            </w:tcBorders>
          </w:tcPr>
          <w:p w14:paraId="1B015755"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9.92</w:t>
            </w:r>
          </w:p>
        </w:tc>
        <w:tc>
          <w:tcPr>
            <w:tcW w:w="1380" w:type="dxa"/>
            <w:tcBorders>
              <w:top w:val="single" w:sz="8" w:space="0" w:color="D9D9D9"/>
              <w:left w:val="single" w:sz="8" w:space="0" w:color="D9D9D9"/>
              <w:bottom w:val="single" w:sz="8" w:space="0" w:color="D9D9D9"/>
              <w:right w:val="single" w:sz="8" w:space="0" w:color="D9D9D9"/>
            </w:tcBorders>
          </w:tcPr>
          <w:p w14:paraId="1B015756"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&lt;.001</w:t>
            </w:r>
          </w:p>
        </w:tc>
      </w:tr>
      <w:tr w:rsidR="0035362F" w14:paraId="1B01575F" w14:textId="77777777">
        <w:tc>
          <w:tcPr>
            <w:tcW w:w="1605" w:type="dxa"/>
            <w:tcBorders>
              <w:top w:val="single" w:sz="8" w:space="0" w:color="D9D9D9"/>
              <w:left w:val="single" w:sz="8" w:space="0" w:color="D9D9D9"/>
              <w:bottom w:val="single" w:sz="8" w:space="0" w:color="D9D9D9"/>
              <w:right w:val="single" w:sz="8" w:space="0" w:color="D9D9D9"/>
            </w:tcBorders>
          </w:tcPr>
          <w:p w14:paraId="1B015758" w14:textId="77777777" w:rsidR="0035362F" w:rsidRDefault="0035362F">
            <w:pPr>
              <w:widowControl w:val="0"/>
              <w:rPr>
                <w:rFonts w:ascii="Times New Roman" w:eastAsia="Times New Roman" w:hAnsi="Times New Roman" w:cs="Times New Roman"/>
              </w:rPr>
            </w:pPr>
          </w:p>
        </w:tc>
        <w:tc>
          <w:tcPr>
            <w:tcW w:w="1815" w:type="dxa"/>
            <w:tcBorders>
              <w:top w:val="single" w:sz="8" w:space="0" w:color="D9D9D9"/>
              <w:left w:val="single" w:sz="8" w:space="0" w:color="D9D9D9"/>
              <w:bottom w:val="single" w:sz="8" w:space="0" w:color="D9D9D9"/>
              <w:right w:val="single" w:sz="8" w:space="0" w:color="D9D9D9"/>
            </w:tcBorders>
          </w:tcPr>
          <w:p w14:paraId="1B015759"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Worst-Case Sensitivity Model</w:t>
            </w:r>
            <w:r>
              <w:rPr>
                <w:rFonts w:ascii="Times New Roman" w:eastAsia="Times New Roman" w:hAnsi="Times New Roman" w:cs="Times New Roman"/>
                <w:vertAlign w:val="superscript"/>
              </w:rPr>
              <w:t>1</w:t>
            </w:r>
          </w:p>
        </w:tc>
        <w:tc>
          <w:tcPr>
            <w:tcW w:w="1260" w:type="dxa"/>
            <w:tcBorders>
              <w:top w:val="single" w:sz="8" w:space="0" w:color="D9D9D9"/>
              <w:left w:val="single" w:sz="8" w:space="0" w:color="D9D9D9"/>
              <w:bottom w:val="single" w:sz="8" w:space="0" w:color="D9D9D9"/>
              <w:right w:val="single" w:sz="8" w:space="0" w:color="D9D9D9"/>
            </w:tcBorders>
          </w:tcPr>
          <w:p w14:paraId="1B01575A"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687</w:t>
            </w:r>
          </w:p>
        </w:tc>
        <w:tc>
          <w:tcPr>
            <w:tcW w:w="1335" w:type="dxa"/>
            <w:tcBorders>
              <w:top w:val="single" w:sz="8" w:space="0" w:color="D9D9D9"/>
              <w:left w:val="single" w:sz="8" w:space="0" w:color="D9D9D9"/>
              <w:bottom w:val="single" w:sz="8" w:space="0" w:color="D9D9D9"/>
              <w:right w:val="single" w:sz="8" w:space="0" w:color="D9D9D9"/>
            </w:tcBorders>
          </w:tcPr>
          <w:p w14:paraId="1B01575B"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-4.81</w:t>
            </w:r>
          </w:p>
        </w:tc>
        <w:tc>
          <w:tcPr>
            <w:tcW w:w="1140" w:type="dxa"/>
            <w:tcBorders>
              <w:top w:val="single" w:sz="8" w:space="0" w:color="D9D9D9"/>
              <w:left w:val="single" w:sz="8" w:space="0" w:color="D9D9D9"/>
              <w:bottom w:val="single" w:sz="8" w:space="0" w:color="D9D9D9"/>
              <w:right w:val="single" w:sz="8" w:space="0" w:color="D9D9D9"/>
            </w:tcBorders>
          </w:tcPr>
          <w:p w14:paraId="1B01575C"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-8.50</w:t>
            </w:r>
          </w:p>
        </w:tc>
        <w:tc>
          <w:tcPr>
            <w:tcW w:w="1080" w:type="dxa"/>
            <w:tcBorders>
              <w:top w:val="single" w:sz="8" w:space="0" w:color="D9D9D9"/>
              <w:left w:val="single" w:sz="8" w:space="0" w:color="D9D9D9"/>
              <w:bottom w:val="single" w:sz="8" w:space="0" w:color="D9D9D9"/>
              <w:right w:val="single" w:sz="8" w:space="0" w:color="D9D9D9"/>
            </w:tcBorders>
          </w:tcPr>
          <w:p w14:paraId="1B01575D"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-1.13</w:t>
            </w:r>
          </w:p>
        </w:tc>
        <w:tc>
          <w:tcPr>
            <w:tcW w:w="1380" w:type="dxa"/>
            <w:tcBorders>
              <w:top w:val="single" w:sz="8" w:space="0" w:color="D9D9D9"/>
              <w:left w:val="single" w:sz="8" w:space="0" w:color="D9D9D9"/>
              <w:bottom w:val="single" w:sz="8" w:space="0" w:color="D9D9D9"/>
              <w:right w:val="single" w:sz="8" w:space="0" w:color="D9D9D9"/>
            </w:tcBorders>
          </w:tcPr>
          <w:p w14:paraId="1B01575E"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0.011</w:t>
            </w:r>
          </w:p>
        </w:tc>
      </w:tr>
      <w:tr w:rsidR="0035362F" w14:paraId="1B015767" w14:textId="77777777">
        <w:tc>
          <w:tcPr>
            <w:tcW w:w="1605" w:type="dxa"/>
            <w:tcBorders>
              <w:top w:val="single" w:sz="8" w:space="0" w:color="D9D9D9"/>
              <w:left w:val="single" w:sz="8" w:space="0" w:color="D9D9D9"/>
              <w:bottom w:val="single" w:sz="8" w:space="0" w:color="D9D9D9"/>
              <w:right w:val="single" w:sz="8" w:space="0" w:color="D9D9D9"/>
            </w:tcBorders>
          </w:tcPr>
          <w:p w14:paraId="1B015760"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 xml:space="preserve">ED Utilization (Logistic Regression) </w:t>
            </w:r>
          </w:p>
        </w:tc>
        <w:tc>
          <w:tcPr>
            <w:tcW w:w="1815" w:type="dxa"/>
            <w:tcBorders>
              <w:top w:val="single" w:sz="8" w:space="0" w:color="D9D9D9"/>
              <w:left w:val="single" w:sz="8" w:space="0" w:color="D9D9D9"/>
              <w:bottom w:val="single" w:sz="8" w:space="0" w:color="D9D9D9"/>
              <w:right w:val="single" w:sz="8" w:space="0" w:color="D9D9D9"/>
            </w:tcBorders>
          </w:tcPr>
          <w:p w14:paraId="1B015761"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Primary Model (Full Analysis Set)</w:t>
            </w:r>
          </w:p>
        </w:tc>
        <w:tc>
          <w:tcPr>
            <w:tcW w:w="1260" w:type="dxa"/>
            <w:tcBorders>
              <w:top w:val="single" w:sz="8" w:space="0" w:color="D9D9D9"/>
              <w:left w:val="single" w:sz="8" w:space="0" w:color="D9D9D9"/>
              <w:bottom w:val="single" w:sz="8" w:space="0" w:color="D9D9D9"/>
              <w:right w:val="single" w:sz="8" w:space="0" w:color="D9D9D9"/>
            </w:tcBorders>
          </w:tcPr>
          <w:p w14:paraId="1B015762"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687</w:t>
            </w:r>
          </w:p>
        </w:tc>
        <w:tc>
          <w:tcPr>
            <w:tcW w:w="1335" w:type="dxa"/>
            <w:tcBorders>
              <w:top w:val="single" w:sz="8" w:space="0" w:color="D9D9D9"/>
              <w:left w:val="single" w:sz="8" w:space="0" w:color="D9D9D9"/>
              <w:bottom w:val="single" w:sz="8" w:space="0" w:color="D9D9D9"/>
              <w:right w:val="single" w:sz="8" w:space="0" w:color="D9D9D9"/>
            </w:tcBorders>
          </w:tcPr>
          <w:p w14:paraId="1B015763"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0.43</w:t>
            </w:r>
          </w:p>
        </w:tc>
        <w:tc>
          <w:tcPr>
            <w:tcW w:w="1140" w:type="dxa"/>
            <w:tcBorders>
              <w:top w:val="single" w:sz="8" w:space="0" w:color="D9D9D9"/>
              <w:left w:val="single" w:sz="8" w:space="0" w:color="D9D9D9"/>
              <w:bottom w:val="single" w:sz="8" w:space="0" w:color="D9D9D9"/>
              <w:right w:val="single" w:sz="8" w:space="0" w:color="D9D9D9"/>
            </w:tcBorders>
          </w:tcPr>
          <w:p w14:paraId="1B015764"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0.24</w:t>
            </w:r>
          </w:p>
        </w:tc>
        <w:tc>
          <w:tcPr>
            <w:tcW w:w="1080" w:type="dxa"/>
            <w:tcBorders>
              <w:top w:val="single" w:sz="8" w:space="0" w:color="D9D9D9"/>
              <w:left w:val="single" w:sz="8" w:space="0" w:color="D9D9D9"/>
              <w:bottom w:val="single" w:sz="8" w:space="0" w:color="D9D9D9"/>
              <w:right w:val="single" w:sz="8" w:space="0" w:color="D9D9D9"/>
            </w:tcBorders>
          </w:tcPr>
          <w:p w14:paraId="1B015765"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0.76</w:t>
            </w:r>
          </w:p>
        </w:tc>
        <w:tc>
          <w:tcPr>
            <w:tcW w:w="1380" w:type="dxa"/>
            <w:tcBorders>
              <w:top w:val="single" w:sz="8" w:space="0" w:color="D9D9D9"/>
              <w:left w:val="single" w:sz="8" w:space="0" w:color="D9D9D9"/>
              <w:bottom w:val="single" w:sz="8" w:space="0" w:color="D9D9D9"/>
              <w:right w:val="single" w:sz="8" w:space="0" w:color="D9D9D9"/>
            </w:tcBorders>
          </w:tcPr>
          <w:p w14:paraId="1B015766"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0.004</w:t>
            </w:r>
          </w:p>
        </w:tc>
      </w:tr>
      <w:tr w:rsidR="0035362F" w14:paraId="1B01576F" w14:textId="77777777">
        <w:tc>
          <w:tcPr>
            <w:tcW w:w="1605" w:type="dxa"/>
            <w:tcBorders>
              <w:top w:val="single" w:sz="8" w:space="0" w:color="D9D9D9"/>
              <w:left w:val="single" w:sz="8" w:space="0" w:color="D9D9D9"/>
              <w:bottom w:val="single" w:sz="8" w:space="0" w:color="D9D9D9"/>
              <w:right w:val="single" w:sz="8" w:space="0" w:color="D9D9D9"/>
            </w:tcBorders>
          </w:tcPr>
          <w:p w14:paraId="1B015768" w14:textId="77777777" w:rsidR="0035362F" w:rsidRDefault="0035362F">
            <w:pPr>
              <w:widowControl w:val="0"/>
              <w:rPr>
                <w:rFonts w:ascii="Times New Roman" w:eastAsia="Times New Roman" w:hAnsi="Times New Roman" w:cs="Times New Roman"/>
              </w:rPr>
            </w:pPr>
          </w:p>
        </w:tc>
        <w:tc>
          <w:tcPr>
            <w:tcW w:w="1815" w:type="dxa"/>
            <w:tcBorders>
              <w:top w:val="single" w:sz="8" w:space="0" w:color="D9D9D9"/>
              <w:left w:val="single" w:sz="8" w:space="0" w:color="D9D9D9"/>
              <w:bottom w:val="single" w:sz="8" w:space="0" w:color="D9D9D9"/>
              <w:right w:val="single" w:sz="8" w:space="0" w:color="D9D9D9"/>
            </w:tcBorders>
          </w:tcPr>
          <w:p w14:paraId="1B015769"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Worst-Case Sensitivity Model</w:t>
            </w:r>
            <w:r>
              <w:rPr>
                <w:rFonts w:ascii="Times New Roman" w:eastAsia="Times New Roman" w:hAnsi="Times New Roman" w:cs="Times New Roman"/>
                <w:vertAlign w:val="superscript"/>
              </w:rPr>
              <w:t>1</w:t>
            </w:r>
          </w:p>
        </w:tc>
        <w:tc>
          <w:tcPr>
            <w:tcW w:w="1260" w:type="dxa"/>
            <w:tcBorders>
              <w:top w:val="single" w:sz="8" w:space="0" w:color="D9D9D9"/>
              <w:left w:val="single" w:sz="8" w:space="0" w:color="D9D9D9"/>
              <w:bottom w:val="single" w:sz="8" w:space="0" w:color="D9D9D9"/>
              <w:right w:val="single" w:sz="8" w:space="0" w:color="D9D9D9"/>
            </w:tcBorders>
          </w:tcPr>
          <w:p w14:paraId="1B01576A"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687</w:t>
            </w:r>
          </w:p>
        </w:tc>
        <w:tc>
          <w:tcPr>
            <w:tcW w:w="1335" w:type="dxa"/>
            <w:tcBorders>
              <w:top w:val="single" w:sz="8" w:space="0" w:color="D9D9D9"/>
              <w:left w:val="single" w:sz="8" w:space="0" w:color="D9D9D9"/>
              <w:bottom w:val="single" w:sz="8" w:space="0" w:color="D9D9D9"/>
              <w:right w:val="single" w:sz="8" w:space="0" w:color="D9D9D9"/>
            </w:tcBorders>
          </w:tcPr>
          <w:p w14:paraId="1B01576B"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1.81</w:t>
            </w:r>
          </w:p>
        </w:tc>
        <w:tc>
          <w:tcPr>
            <w:tcW w:w="1140" w:type="dxa"/>
            <w:tcBorders>
              <w:top w:val="single" w:sz="8" w:space="0" w:color="D9D9D9"/>
              <w:left w:val="single" w:sz="8" w:space="0" w:color="D9D9D9"/>
              <w:bottom w:val="single" w:sz="8" w:space="0" w:color="D9D9D9"/>
              <w:right w:val="single" w:sz="8" w:space="0" w:color="D9D9D9"/>
            </w:tcBorders>
          </w:tcPr>
          <w:p w14:paraId="1B01576C"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1.17</w:t>
            </w:r>
          </w:p>
        </w:tc>
        <w:tc>
          <w:tcPr>
            <w:tcW w:w="1080" w:type="dxa"/>
            <w:tcBorders>
              <w:top w:val="single" w:sz="8" w:space="0" w:color="D9D9D9"/>
              <w:left w:val="single" w:sz="8" w:space="0" w:color="D9D9D9"/>
              <w:bottom w:val="single" w:sz="8" w:space="0" w:color="D9D9D9"/>
              <w:right w:val="single" w:sz="8" w:space="0" w:color="D9D9D9"/>
            </w:tcBorders>
          </w:tcPr>
          <w:p w14:paraId="1B01576D"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2.81</w:t>
            </w:r>
          </w:p>
        </w:tc>
        <w:tc>
          <w:tcPr>
            <w:tcW w:w="1380" w:type="dxa"/>
            <w:tcBorders>
              <w:top w:val="single" w:sz="8" w:space="0" w:color="D9D9D9"/>
              <w:left w:val="single" w:sz="8" w:space="0" w:color="D9D9D9"/>
              <w:bottom w:val="single" w:sz="8" w:space="0" w:color="D9D9D9"/>
              <w:right w:val="single" w:sz="8" w:space="0" w:color="D9D9D9"/>
            </w:tcBorders>
          </w:tcPr>
          <w:p w14:paraId="1B01576E"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0.008</w:t>
            </w:r>
          </w:p>
        </w:tc>
      </w:tr>
    </w:tbl>
    <w:p w14:paraId="1B015770" w14:textId="77777777" w:rsidR="0035362F" w:rsidRDefault="008A5410">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Abbreviations: CI = Confidence Interval; ED = Emergency Department; PFS = Physical Functioning Scale (SF-36). </w:t>
      </w:r>
    </w:p>
    <w:p w14:paraId="1B015771" w14:textId="77777777" w:rsidR="0035362F" w:rsidRDefault="008A5410">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Worst-case analysis assigns the maximum sample-observed fall count (12 falls) to all 56 intervention dropouts for the fall rate model, the minimum sample-observed PFS score for the physical function model, and an affirmative ED visit (Yes) for the healthcare utilization model. All models are adjusted for age, gender, comorbidities, baseline fall count, baseline short FES-I, and baseline STEADI score.   </w:t>
      </w:r>
    </w:p>
    <w:p w14:paraId="169362B4" w14:textId="5525C64A" w:rsidR="006D7E62" w:rsidRDefault="008A5410">
      <w:pPr>
        <w:rPr>
          <w:rFonts w:ascii="Times New Roman" w:eastAsia="Times New Roman" w:hAnsi="Times New Roman" w:cs="Times New Roman"/>
          <w:b/>
          <w:bCs/>
          <w:sz w:val="24"/>
          <w:szCs w:val="24"/>
        </w:rPr>
      </w:pPr>
      <w:r>
        <w:rPr>
          <w:rFonts w:ascii="Times New Roman" w:eastAsia="Times New Roman" w:hAnsi="Times New Roman" w:cs="Times New Roman"/>
          <w:sz w:val="18"/>
          <w:szCs w:val="18"/>
          <w:vertAlign w:val="superscript"/>
        </w:rPr>
        <w:t>1</w:t>
      </w:r>
      <w:r>
        <w:rPr>
          <w:rFonts w:ascii="Times New Roman" w:eastAsia="Times New Roman" w:hAnsi="Times New Roman" w:cs="Times New Roman"/>
          <w:sz w:val="18"/>
          <w:szCs w:val="18"/>
        </w:rPr>
        <w:t xml:space="preserve">The effect </w:t>
      </w:r>
      <w:proofErr w:type="gramStart"/>
      <w:r>
        <w:rPr>
          <w:rFonts w:ascii="Times New Roman" w:eastAsia="Times New Roman" w:hAnsi="Times New Roman" w:cs="Times New Roman"/>
          <w:sz w:val="18"/>
          <w:szCs w:val="18"/>
        </w:rPr>
        <w:t>estimate</w:t>
      </w:r>
      <w:proofErr w:type="gramEnd"/>
      <w:r>
        <w:rPr>
          <w:rFonts w:ascii="Times New Roman" w:eastAsia="Times New Roman" w:hAnsi="Times New Roman" w:cs="Times New Roman"/>
          <w:sz w:val="18"/>
          <w:szCs w:val="18"/>
        </w:rPr>
        <w:t xml:space="preserve"> reversed direction under this extreme parameter penalty. </w:t>
      </w:r>
      <w:r w:rsidR="006D7E62">
        <w:rPr>
          <w:rFonts w:ascii="Times New Roman" w:eastAsia="Times New Roman" w:hAnsi="Times New Roman" w:cs="Times New Roman"/>
          <w:b/>
          <w:bCs/>
          <w:sz w:val="24"/>
          <w:szCs w:val="24"/>
        </w:rPr>
        <w:br w:type="page"/>
      </w:r>
    </w:p>
    <w:p w14:paraId="1B015776" w14:textId="7A6F300D" w:rsidR="0035362F" w:rsidRDefault="008A5410">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Table S3.</w:t>
      </w:r>
      <w:r>
        <w:rPr>
          <w:rFonts w:ascii="Times New Roman" w:eastAsia="Times New Roman" w:hAnsi="Times New Roman" w:cs="Times New Roman"/>
          <w:sz w:val="24"/>
          <w:szCs w:val="24"/>
        </w:rPr>
        <w:t xml:space="preserve"> Tipping-Point Analysis for Primary Outcome (Fall Rate) </w:t>
      </w:r>
    </w:p>
    <w:tbl>
      <w:tblPr>
        <w:tblStyle w:val="a5"/>
        <w:tblW w:w="952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20"/>
        <w:gridCol w:w="1275"/>
        <w:gridCol w:w="1485"/>
        <w:gridCol w:w="1515"/>
        <w:gridCol w:w="1200"/>
        <w:gridCol w:w="2130"/>
      </w:tblGrid>
      <w:tr w:rsidR="0035362F" w14:paraId="1B01577D" w14:textId="77777777">
        <w:tc>
          <w:tcPr>
            <w:tcW w:w="1920" w:type="dxa"/>
            <w:tcBorders>
              <w:top w:val="single" w:sz="8" w:space="0" w:color="D9D9D9"/>
              <w:left w:val="single" w:sz="8" w:space="0" w:color="D9D9D9"/>
              <w:bottom w:val="single" w:sz="8" w:space="0" w:color="D9D9D9"/>
              <w:right w:val="single" w:sz="8" w:space="0" w:color="D9D9D9"/>
            </w:tcBorders>
          </w:tcPr>
          <w:p w14:paraId="1B015777" w14:textId="77777777" w:rsidR="0035362F" w:rsidRDefault="008A5410">
            <w:pPr>
              <w:widowControl w:val="0"/>
              <w:jc w:val="center"/>
              <w:rPr>
                <w:rFonts w:ascii="Times New Roman" w:eastAsia="Times New Roman" w:hAnsi="Times New Roman" w:cs="Times New Roman"/>
                <w:b/>
                <w:bCs/>
              </w:rPr>
            </w:pPr>
            <w:r>
              <w:rPr>
                <w:rFonts w:ascii="Times New Roman" w:eastAsia="Times New Roman" w:hAnsi="Times New Roman" w:cs="Times New Roman"/>
                <w:b/>
                <w:bCs/>
              </w:rPr>
              <w:t>Falls Assigned to Intervention Dropouts</w:t>
            </w:r>
          </w:p>
        </w:tc>
        <w:tc>
          <w:tcPr>
            <w:tcW w:w="1275" w:type="dxa"/>
            <w:tcBorders>
              <w:top w:val="single" w:sz="8" w:space="0" w:color="D9D9D9"/>
              <w:left w:val="single" w:sz="8" w:space="0" w:color="D9D9D9"/>
              <w:bottom w:val="single" w:sz="8" w:space="0" w:color="D9D9D9"/>
              <w:right w:val="single" w:sz="8" w:space="0" w:color="D9D9D9"/>
            </w:tcBorders>
          </w:tcPr>
          <w:p w14:paraId="1B015778" w14:textId="77777777" w:rsidR="0035362F" w:rsidRDefault="008A5410">
            <w:pPr>
              <w:widowControl w:val="0"/>
              <w:jc w:val="center"/>
              <w:rPr>
                <w:rFonts w:ascii="Times New Roman" w:eastAsia="Times New Roman" w:hAnsi="Times New Roman" w:cs="Times New Roman"/>
                <w:b/>
                <w:bCs/>
              </w:rPr>
            </w:pPr>
            <w:r>
              <w:rPr>
                <w:rFonts w:ascii="Times New Roman" w:eastAsia="Times New Roman" w:hAnsi="Times New Roman" w:cs="Times New Roman"/>
                <w:b/>
                <w:bCs/>
              </w:rPr>
              <w:t>Adjusted IRR</w:t>
            </w:r>
          </w:p>
        </w:tc>
        <w:tc>
          <w:tcPr>
            <w:tcW w:w="1485" w:type="dxa"/>
            <w:tcBorders>
              <w:top w:val="single" w:sz="8" w:space="0" w:color="D9D9D9"/>
              <w:left w:val="single" w:sz="8" w:space="0" w:color="D9D9D9"/>
              <w:bottom w:val="single" w:sz="8" w:space="0" w:color="D9D9D9"/>
              <w:right w:val="single" w:sz="8" w:space="0" w:color="D9D9D9"/>
            </w:tcBorders>
          </w:tcPr>
          <w:p w14:paraId="1B015779" w14:textId="77777777" w:rsidR="0035362F" w:rsidRDefault="008A5410">
            <w:pPr>
              <w:widowControl w:val="0"/>
              <w:jc w:val="center"/>
              <w:rPr>
                <w:rFonts w:ascii="Times New Roman" w:eastAsia="Times New Roman" w:hAnsi="Times New Roman" w:cs="Times New Roman"/>
                <w:b/>
                <w:bCs/>
              </w:rPr>
            </w:pPr>
            <w:r>
              <w:rPr>
                <w:rFonts w:ascii="Times New Roman" w:eastAsia="Times New Roman" w:hAnsi="Times New Roman" w:cs="Times New Roman"/>
                <w:b/>
                <w:bCs/>
              </w:rPr>
              <w:t>95% CI (Lower)</w:t>
            </w:r>
          </w:p>
        </w:tc>
        <w:tc>
          <w:tcPr>
            <w:tcW w:w="1515" w:type="dxa"/>
            <w:tcBorders>
              <w:top w:val="single" w:sz="8" w:space="0" w:color="D9D9D9"/>
              <w:left w:val="single" w:sz="8" w:space="0" w:color="D9D9D9"/>
              <w:bottom w:val="single" w:sz="8" w:space="0" w:color="D9D9D9"/>
              <w:right w:val="single" w:sz="8" w:space="0" w:color="D9D9D9"/>
            </w:tcBorders>
          </w:tcPr>
          <w:p w14:paraId="1B01577A" w14:textId="77777777" w:rsidR="0035362F" w:rsidRDefault="008A5410">
            <w:pPr>
              <w:widowControl w:val="0"/>
              <w:jc w:val="center"/>
              <w:rPr>
                <w:rFonts w:ascii="Times New Roman" w:eastAsia="Times New Roman" w:hAnsi="Times New Roman" w:cs="Times New Roman"/>
                <w:b/>
                <w:bCs/>
              </w:rPr>
            </w:pPr>
            <w:r>
              <w:rPr>
                <w:rFonts w:ascii="Times New Roman" w:eastAsia="Times New Roman" w:hAnsi="Times New Roman" w:cs="Times New Roman"/>
                <w:b/>
                <w:bCs/>
              </w:rPr>
              <w:t>95% CI (Upper)</w:t>
            </w:r>
          </w:p>
        </w:tc>
        <w:tc>
          <w:tcPr>
            <w:tcW w:w="1200" w:type="dxa"/>
            <w:tcBorders>
              <w:top w:val="single" w:sz="8" w:space="0" w:color="D9D9D9"/>
              <w:left w:val="single" w:sz="8" w:space="0" w:color="D9D9D9"/>
              <w:bottom w:val="single" w:sz="8" w:space="0" w:color="D9D9D9"/>
              <w:right w:val="single" w:sz="8" w:space="0" w:color="D9D9D9"/>
            </w:tcBorders>
          </w:tcPr>
          <w:p w14:paraId="1B01577B" w14:textId="77777777" w:rsidR="0035362F" w:rsidRDefault="008A5410">
            <w:pPr>
              <w:widowControl w:val="0"/>
              <w:jc w:val="center"/>
              <w:rPr>
                <w:rFonts w:ascii="Times New Roman" w:eastAsia="Times New Roman" w:hAnsi="Times New Roman" w:cs="Times New Roman"/>
                <w:b/>
                <w:bCs/>
              </w:rPr>
            </w:pPr>
            <w:r>
              <w:rPr>
                <w:rFonts w:ascii="Times New Roman" w:eastAsia="Times New Roman" w:hAnsi="Times New Roman" w:cs="Times New Roman"/>
                <w:b/>
                <w:bCs/>
                <w:i/>
                <w:iCs/>
              </w:rPr>
              <w:t>P</w:t>
            </w:r>
            <w:r>
              <w:rPr>
                <w:rFonts w:ascii="Times New Roman" w:eastAsia="Times New Roman" w:hAnsi="Times New Roman" w:cs="Times New Roman"/>
                <w:b/>
                <w:bCs/>
              </w:rPr>
              <w:t xml:space="preserve"> value </w:t>
            </w:r>
          </w:p>
        </w:tc>
        <w:tc>
          <w:tcPr>
            <w:tcW w:w="2130" w:type="dxa"/>
            <w:tcBorders>
              <w:top w:val="single" w:sz="8" w:space="0" w:color="D9D9D9"/>
              <w:left w:val="single" w:sz="8" w:space="0" w:color="D9D9D9"/>
              <w:bottom w:val="single" w:sz="8" w:space="0" w:color="D9D9D9"/>
              <w:right w:val="single" w:sz="8" w:space="0" w:color="D9D9D9"/>
            </w:tcBorders>
          </w:tcPr>
          <w:p w14:paraId="1B01577C" w14:textId="77777777" w:rsidR="0035362F" w:rsidRDefault="008A5410">
            <w:pPr>
              <w:widowControl w:val="0"/>
              <w:jc w:val="center"/>
              <w:rPr>
                <w:rFonts w:ascii="Times New Roman" w:eastAsia="Times New Roman" w:hAnsi="Times New Roman" w:cs="Times New Roman"/>
                <w:b/>
                <w:bCs/>
              </w:rPr>
            </w:pPr>
            <w:r>
              <w:rPr>
                <w:rFonts w:ascii="Times New Roman" w:eastAsia="Times New Roman" w:hAnsi="Times New Roman" w:cs="Times New Roman"/>
                <w:b/>
                <w:bCs/>
              </w:rPr>
              <w:t>Model Context/Note</w:t>
            </w:r>
          </w:p>
        </w:tc>
      </w:tr>
      <w:tr w:rsidR="0035362F" w14:paraId="1B015784" w14:textId="77777777">
        <w:tc>
          <w:tcPr>
            <w:tcW w:w="1920" w:type="dxa"/>
            <w:tcBorders>
              <w:top w:val="single" w:sz="8" w:space="0" w:color="D9D9D9"/>
              <w:left w:val="single" w:sz="8" w:space="0" w:color="D9D9D9"/>
              <w:bottom w:val="single" w:sz="8" w:space="0" w:color="D9D9D9"/>
              <w:right w:val="single" w:sz="8" w:space="0" w:color="D9D9D9"/>
            </w:tcBorders>
          </w:tcPr>
          <w:p w14:paraId="1B01577E"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w:t>
            </w:r>
          </w:p>
        </w:tc>
        <w:tc>
          <w:tcPr>
            <w:tcW w:w="1275" w:type="dxa"/>
            <w:tcBorders>
              <w:top w:val="single" w:sz="8" w:space="0" w:color="D9D9D9"/>
              <w:left w:val="single" w:sz="8" w:space="0" w:color="D9D9D9"/>
              <w:bottom w:val="single" w:sz="8" w:space="0" w:color="D9D9D9"/>
              <w:right w:val="single" w:sz="8" w:space="0" w:color="D9D9D9"/>
            </w:tcBorders>
          </w:tcPr>
          <w:p w14:paraId="1B01577F"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0.55</w:t>
            </w:r>
          </w:p>
        </w:tc>
        <w:tc>
          <w:tcPr>
            <w:tcW w:w="1485" w:type="dxa"/>
            <w:tcBorders>
              <w:top w:val="single" w:sz="8" w:space="0" w:color="D9D9D9"/>
              <w:left w:val="single" w:sz="8" w:space="0" w:color="D9D9D9"/>
              <w:bottom w:val="single" w:sz="8" w:space="0" w:color="D9D9D9"/>
              <w:right w:val="single" w:sz="8" w:space="0" w:color="D9D9D9"/>
            </w:tcBorders>
          </w:tcPr>
          <w:p w14:paraId="1B015780"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w:t>
            </w:r>
          </w:p>
        </w:tc>
        <w:tc>
          <w:tcPr>
            <w:tcW w:w="1515" w:type="dxa"/>
            <w:tcBorders>
              <w:top w:val="single" w:sz="8" w:space="0" w:color="D9D9D9"/>
              <w:left w:val="single" w:sz="8" w:space="0" w:color="D9D9D9"/>
              <w:bottom w:val="single" w:sz="8" w:space="0" w:color="D9D9D9"/>
              <w:right w:val="single" w:sz="8" w:space="0" w:color="D9D9D9"/>
            </w:tcBorders>
          </w:tcPr>
          <w:p w14:paraId="1B015781"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w:t>
            </w:r>
          </w:p>
        </w:tc>
        <w:tc>
          <w:tcPr>
            <w:tcW w:w="1200" w:type="dxa"/>
            <w:tcBorders>
              <w:top w:val="single" w:sz="8" w:space="0" w:color="D9D9D9"/>
              <w:left w:val="single" w:sz="8" w:space="0" w:color="D9D9D9"/>
              <w:bottom w:val="single" w:sz="8" w:space="0" w:color="D9D9D9"/>
              <w:right w:val="single" w:sz="8" w:space="0" w:color="D9D9D9"/>
            </w:tcBorders>
          </w:tcPr>
          <w:p w14:paraId="1B015782"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&lt;.001</w:t>
            </w:r>
          </w:p>
        </w:tc>
        <w:tc>
          <w:tcPr>
            <w:tcW w:w="2130" w:type="dxa"/>
            <w:tcBorders>
              <w:top w:val="single" w:sz="8" w:space="0" w:color="D9D9D9"/>
              <w:left w:val="single" w:sz="8" w:space="0" w:color="D9D9D9"/>
              <w:bottom w:val="single" w:sz="8" w:space="0" w:color="D9D9D9"/>
              <w:right w:val="single" w:sz="8" w:space="0" w:color="D9D9D9"/>
            </w:tcBorders>
          </w:tcPr>
          <w:p w14:paraId="1B015783"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 xml:space="preserve">Assumes zero falls among non-completers. </w:t>
            </w:r>
          </w:p>
        </w:tc>
      </w:tr>
      <w:tr w:rsidR="0035362F" w14:paraId="1B01578B" w14:textId="77777777">
        <w:tc>
          <w:tcPr>
            <w:tcW w:w="1920" w:type="dxa"/>
            <w:tcBorders>
              <w:top w:val="single" w:sz="8" w:space="0" w:color="D9D9D9"/>
              <w:left w:val="single" w:sz="8" w:space="0" w:color="D9D9D9"/>
              <w:bottom w:val="single" w:sz="8" w:space="0" w:color="D9D9D9"/>
              <w:right w:val="single" w:sz="8" w:space="0" w:color="D9D9D9"/>
            </w:tcBorders>
          </w:tcPr>
          <w:p w14:paraId="1B015785"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Base Model (MICE)</w:t>
            </w:r>
          </w:p>
        </w:tc>
        <w:tc>
          <w:tcPr>
            <w:tcW w:w="1275" w:type="dxa"/>
            <w:tcBorders>
              <w:top w:val="single" w:sz="8" w:space="0" w:color="D9D9D9"/>
              <w:left w:val="single" w:sz="8" w:space="0" w:color="D9D9D9"/>
              <w:bottom w:val="single" w:sz="8" w:space="0" w:color="D9D9D9"/>
              <w:right w:val="single" w:sz="8" w:space="0" w:color="D9D9D9"/>
            </w:tcBorders>
          </w:tcPr>
          <w:p w14:paraId="1B015786"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0.63</w:t>
            </w:r>
          </w:p>
        </w:tc>
        <w:tc>
          <w:tcPr>
            <w:tcW w:w="1485" w:type="dxa"/>
            <w:tcBorders>
              <w:top w:val="single" w:sz="8" w:space="0" w:color="D9D9D9"/>
              <w:left w:val="single" w:sz="8" w:space="0" w:color="D9D9D9"/>
              <w:bottom w:val="single" w:sz="8" w:space="0" w:color="D9D9D9"/>
              <w:right w:val="single" w:sz="8" w:space="0" w:color="D9D9D9"/>
            </w:tcBorders>
          </w:tcPr>
          <w:p w14:paraId="1B015787"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0.48</w:t>
            </w:r>
          </w:p>
        </w:tc>
        <w:tc>
          <w:tcPr>
            <w:tcW w:w="1515" w:type="dxa"/>
            <w:tcBorders>
              <w:top w:val="single" w:sz="8" w:space="0" w:color="D9D9D9"/>
              <w:left w:val="single" w:sz="8" w:space="0" w:color="D9D9D9"/>
              <w:bottom w:val="single" w:sz="8" w:space="0" w:color="D9D9D9"/>
              <w:right w:val="single" w:sz="8" w:space="0" w:color="D9D9D9"/>
            </w:tcBorders>
          </w:tcPr>
          <w:p w14:paraId="1B015788"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0.82</w:t>
            </w:r>
          </w:p>
        </w:tc>
        <w:tc>
          <w:tcPr>
            <w:tcW w:w="1200" w:type="dxa"/>
            <w:tcBorders>
              <w:top w:val="single" w:sz="8" w:space="0" w:color="D9D9D9"/>
              <w:left w:val="single" w:sz="8" w:space="0" w:color="D9D9D9"/>
              <w:bottom w:val="single" w:sz="8" w:space="0" w:color="D9D9D9"/>
              <w:right w:val="single" w:sz="8" w:space="0" w:color="D9D9D9"/>
            </w:tcBorders>
          </w:tcPr>
          <w:p w14:paraId="1B015789"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&lt;.001</w:t>
            </w:r>
          </w:p>
        </w:tc>
        <w:tc>
          <w:tcPr>
            <w:tcW w:w="2130" w:type="dxa"/>
            <w:tcBorders>
              <w:top w:val="single" w:sz="8" w:space="0" w:color="D9D9D9"/>
              <w:left w:val="single" w:sz="8" w:space="0" w:color="D9D9D9"/>
              <w:bottom w:val="single" w:sz="8" w:space="0" w:color="D9D9D9"/>
              <w:right w:val="single" w:sz="8" w:space="0" w:color="D9D9D9"/>
            </w:tcBorders>
          </w:tcPr>
          <w:p w14:paraId="1B01578A"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Primary Analysis (Observed Completer Mean = 0.6)</w:t>
            </w:r>
          </w:p>
        </w:tc>
      </w:tr>
      <w:tr w:rsidR="0035362F" w14:paraId="1B015792" w14:textId="77777777">
        <w:tc>
          <w:tcPr>
            <w:tcW w:w="1920" w:type="dxa"/>
            <w:tcBorders>
              <w:top w:val="single" w:sz="8" w:space="0" w:color="D9D9D9"/>
              <w:left w:val="single" w:sz="8" w:space="0" w:color="D9D9D9"/>
              <w:bottom w:val="single" w:sz="8" w:space="0" w:color="D9D9D9"/>
              <w:right w:val="single" w:sz="8" w:space="0" w:color="D9D9D9"/>
            </w:tcBorders>
          </w:tcPr>
          <w:p w14:paraId="1B01578C"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1</w:t>
            </w:r>
          </w:p>
        </w:tc>
        <w:tc>
          <w:tcPr>
            <w:tcW w:w="1275" w:type="dxa"/>
            <w:tcBorders>
              <w:top w:val="single" w:sz="8" w:space="0" w:color="D9D9D9"/>
              <w:left w:val="single" w:sz="8" w:space="0" w:color="D9D9D9"/>
              <w:bottom w:val="single" w:sz="8" w:space="0" w:color="D9D9D9"/>
              <w:right w:val="single" w:sz="8" w:space="0" w:color="D9D9D9"/>
            </w:tcBorders>
          </w:tcPr>
          <w:p w14:paraId="1B01578D"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0.75</w:t>
            </w:r>
          </w:p>
        </w:tc>
        <w:tc>
          <w:tcPr>
            <w:tcW w:w="1485" w:type="dxa"/>
            <w:tcBorders>
              <w:top w:val="single" w:sz="8" w:space="0" w:color="D9D9D9"/>
              <w:left w:val="single" w:sz="8" w:space="0" w:color="D9D9D9"/>
              <w:bottom w:val="single" w:sz="8" w:space="0" w:color="D9D9D9"/>
              <w:right w:val="single" w:sz="8" w:space="0" w:color="D9D9D9"/>
            </w:tcBorders>
          </w:tcPr>
          <w:p w14:paraId="1B01578E"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w:t>
            </w:r>
          </w:p>
        </w:tc>
        <w:tc>
          <w:tcPr>
            <w:tcW w:w="1515" w:type="dxa"/>
            <w:tcBorders>
              <w:top w:val="single" w:sz="8" w:space="0" w:color="D9D9D9"/>
              <w:left w:val="single" w:sz="8" w:space="0" w:color="D9D9D9"/>
              <w:bottom w:val="single" w:sz="8" w:space="0" w:color="D9D9D9"/>
              <w:right w:val="single" w:sz="8" w:space="0" w:color="D9D9D9"/>
            </w:tcBorders>
          </w:tcPr>
          <w:p w14:paraId="1B01578F"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w:t>
            </w:r>
          </w:p>
        </w:tc>
        <w:tc>
          <w:tcPr>
            <w:tcW w:w="1200" w:type="dxa"/>
            <w:tcBorders>
              <w:top w:val="single" w:sz="8" w:space="0" w:color="D9D9D9"/>
              <w:left w:val="single" w:sz="8" w:space="0" w:color="D9D9D9"/>
              <w:bottom w:val="single" w:sz="8" w:space="0" w:color="D9D9D9"/>
              <w:right w:val="single" w:sz="8" w:space="0" w:color="D9D9D9"/>
            </w:tcBorders>
          </w:tcPr>
          <w:p w14:paraId="1B015790"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0.015</w:t>
            </w:r>
          </w:p>
        </w:tc>
        <w:tc>
          <w:tcPr>
            <w:tcW w:w="2130" w:type="dxa"/>
            <w:tcBorders>
              <w:top w:val="single" w:sz="8" w:space="0" w:color="D9D9D9"/>
              <w:left w:val="single" w:sz="8" w:space="0" w:color="D9D9D9"/>
              <w:bottom w:val="single" w:sz="8" w:space="0" w:color="D9D9D9"/>
              <w:right w:val="single" w:sz="8" w:space="0" w:color="D9D9D9"/>
            </w:tcBorders>
          </w:tcPr>
          <w:p w14:paraId="1B015791"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 xml:space="preserve">Assumes dropouts out-fell completers. </w:t>
            </w:r>
          </w:p>
        </w:tc>
      </w:tr>
      <w:tr w:rsidR="0035362F" w14:paraId="1B015799" w14:textId="77777777">
        <w:tc>
          <w:tcPr>
            <w:tcW w:w="1920" w:type="dxa"/>
            <w:tcBorders>
              <w:top w:val="single" w:sz="8" w:space="0" w:color="D9D9D9"/>
              <w:left w:val="single" w:sz="8" w:space="0" w:color="D9D9D9"/>
              <w:bottom w:val="single" w:sz="8" w:space="0" w:color="D9D9D9"/>
              <w:right w:val="single" w:sz="8" w:space="0" w:color="D9D9D9"/>
            </w:tcBorders>
          </w:tcPr>
          <w:p w14:paraId="1B015793"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2</w:t>
            </w:r>
          </w:p>
        </w:tc>
        <w:tc>
          <w:tcPr>
            <w:tcW w:w="1275" w:type="dxa"/>
            <w:tcBorders>
              <w:top w:val="single" w:sz="8" w:space="0" w:color="D9D9D9"/>
              <w:left w:val="single" w:sz="8" w:space="0" w:color="D9D9D9"/>
              <w:bottom w:val="single" w:sz="8" w:space="0" w:color="D9D9D9"/>
              <w:right w:val="single" w:sz="8" w:space="0" w:color="D9D9D9"/>
            </w:tcBorders>
          </w:tcPr>
          <w:p w14:paraId="1B015794"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0.94</w:t>
            </w:r>
          </w:p>
        </w:tc>
        <w:tc>
          <w:tcPr>
            <w:tcW w:w="1485" w:type="dxa"/>
            <w:tcBorders>
              <w:top w:val="single" w:sz="8" w:space="0" w:color="D9D9D9"/>
              <w:left w:val="single" w:sz="8" w:space="0" w:color="D9D9D9"/>
              <w:bottom w:val="single" w:sz="8" w:space="0" w:color="D9D9D9"/>
              <w:right w:val="single" w:sz="8" w:space="0" w:color="D9D9D9"/>
            </w:tcBorders>
          </w:tcPr>
          <w:p w14:paraId="1B015795"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w:t>
            </w:r>
          </w:p>
        </w:tc>
        <w:tc>
          <w:tcPr>
            <w:tcW w:w="1515" w:type="dxa"/>
            <w:tcBorders>
              <w:top w:val="single" w:sz="8" w:space="0" w:color="D9D9D9"/>
              <w:left w:val="single" w:sz="8" w:space="0" w:color="D9D9D9"/>
              <w:bottom w:val="single" w:sz="8" w:space="0" w:color="D9D9D9"/>
              <w:right w:val="single" w:sz="8" w:space="0" w:color="D9D9D9"/>
            </w:tcBorders>
          </w:tcPr>
          <w:p w14:paraId="1B015796"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w:t>
            </w:r>
          </w:p>
        </w:tc>
        <w:tc>
          <w:tcPr>
            <w:tcW w:w="1200" w:type="dxa"/>
            <w:tcBorders>
              <w:top w:val="single" w:sz="8" w:space="0" w:color="D9D9D9"/>
              <w:left w:val="single" w:sz="8" w:space="0" w:color="D9D9D9"/>
              <w:bottom w:val="single" w:sz="8" w:space="0" w:color="D9D9D9"/>
              <w:right w:val="single" w:sz="8" w:space="0" w:color="D9D9D9"/>
            </w:tcBorders>
          </w:tcPr>
          <w:p w14:paraId="1B015797"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0.578</w:t>
            </w:r>
          </w:p>
        </w:tc>
        <w:tc>
          <w:tcPr>
            <w:tcW w:w="2130" w:type="dxa"/>
            <w:tcBorders>
              <w:top w:val="single" w:sz="8" w:space="0" w:color="D9D9D9"/>
              <w:left w:val="single" w:sz="8" w:space="0" w:color="D9D9D9"/>
              <w:bottom w:val="single" w:sz="8" w:space="0" w:color="D9D9D9"/>
              <w:right w:val="single" w:sz="8" w:space="0" w:color="D9D9D9"/>
            </w:tcBorders>
          </w:tcPr>
          <w:p w14:paraId="1B015798"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 xml:space="preserve">Tipping Point (Intervention effect nullified; </w:t>
            </w:r>
            <w:r>
              <w:rPr>
                <w:rFonts w:ascii="Times New Roman" w:eastAsia="Times New Roman" w:hAnsi="Times New Roman" w:cs="Times New Roman"/>
                <w:i/>
                <w:iCs/>
              </w:rPr>
              <w:t>p</w:t>
            </w:r>
            <w:r>
              <w:rPr>
                <w:rFonts w:ascii="Times New Roman" w:eastAsia="Times New Roman" w:hAnsi="Times New Roman" w:cs="Times New Roman"/>
              </w:rPr>
              <w:t xml:space="preserve"> ≥ 0.05)</w:t>
            </w:r>
          </w:p>
        </w:tc>
      </w:tr>
      <w:tr w:rsidR="0035362F" w14:paraId="1B0157A0" w14:textId="77777777">
        <w:tc>
          <w:tcPr>
            <w:tcW w:w="1920" w:type="dxa"/>
            <w:tcBorders>
              <w:top w:val="single" w:sz="8" w:space="0" w:color="D9D9D9"/>
              <w:left w:val="single" w:sz="8" w:space="0" w:color="D9D9D9"/>
              <w:bottom w:val="single" w:sz="8" w:space="0" w:color="D9D9D9"/>
              <w:right w:val="single" w:sz="8" w:space="0" w:color="D9D9D9"/>
            </w:tcBorders>
          </w:tcPr>
          <w:p w14:paraId="1B01579A"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3</w:t>
            </w:r>
          </w:p>
        </w:tc>
        <w:tc>
          <w:tcPr>
            <w:tcW w:w="1275" w:type="dxa"/>
            <w:tcBorders>
              <w:top w:val="single" w:sz="8" w:space="0" w:color="D9D9D9"/>
              <w:left w:val="single" w:sz="8" w:space="0" w:color="D9D9D9"/>
              <w:bottom w:val="single" w:sz="8" w:space="0" w:color="D9D9D9"/>
              <w:right w:val="single" w:sz="8" w:space="0" w:color="D9D9D9"/>
            </w:tcBorders>
          </w:tcPr>
          <w:p w14:paraId="1B01579B"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1.13</w:t>
            </w:r>
          </w:p>
        </w:tc>
        <w:tc>
          <w:tcPr>
            <w:tcW w:w="1485" w:type="dxa"/>
            <w:tcBorders>
              <w:top w:val="single" w:sz="8" w:space="0" w:color="D9D9D9"/>
              <w:left w:val="single" w:sz="8" w:space="0" w:color="D9D9D9"/>
              <w:bottom w:val="single" w:sz="8" w:space="0" w:color="D9D9D9"/>
              <w:right w:val="single" w:sz="8" w:space="0" w:color="D9D9D9"/>
            </w:tcBorders>
          </w:tcPr>
          <w:p w14:paraId="1B01579C"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w:t>
            </w:r>
          </w:p>
        </w:tc>
        <w:tc>
          <w:tcPr>
            <w:tcW w:w="1515" w:type="dxa"/>
            <w:tcBorders>
              <w:top w:val="single" w:sz="8" w:space="0" w:color="D9D9D9"/>
              <w:left w:val="single" w:sz="8" w:space="0" w:color="D9D9D9"/>
              <w:bottom w:val="single" w:sz="8" w:space="0" w:color="D9D9D9"/>
              <w:right w:val="single" w:sz="8" w:space="0" w:color="D9D9D9"/>
            </w:tcBorders>
          </w:tcPr>
          <w:p w14:paraId="1B01579D"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w:t>
            </w:r>
          </w:p>
        </w:tc>
        <w:tc>
          <w:tcPr>
            <w:tcW w:w="1200" w:type="dxa"/>
            <w:tcBorders>
              <w:top w:val="single" w:sz="8" w:space="0" w:color="D9D9D9"/>
              <w:left w:val="single" w:sz="8" w:space="0" w:color="D9D9D9"/>
              <w:bottom w:val="single" w:sz="8" w:space="0" w:color="D9D9D9"/>
              <w:right w:val="single" w:sz="8" w:space="0" w:color="D9D9D9"/>
            </w:tcBorders>
          </w:tcPr>
          <w:p w14:paraId="1B01579E"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0.311</w:t>
            </w:r>
          </w:p>
        </w:tc>
        <w:tc>
          <w:tcPr>
            <w:tcW w:w="2130" w:type="dxa"/>
            <w:tcBorders>
              <w:top w:val="single" w:sz="8" w:space="0" w:color="D9D9D9"/>
              <w:left w:val="single" w:sz="8" w:space="0" w:color="D9D9D9"/>
              <w:bottom w:val="single" w:sz="8" w:space="0" w:color="D9D9D9"/>
              <w:right w:val="single" w:sz="8" w:space="0" w:color="D9D9D9"/>
            </w:tcBorders>
          </w:tcPr>
          <w:p w14:paraId="1B01579F"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 xml:space="preserve">Direction of effect begins to invert. </w:t>
            </w:r>
          </w:p>
        </w:tc>
      </w:tr>
      <w:tr w:rsidR="0035362F" w14:paraId="1B0157A7" w14:textId="77777777">
        <w:tc>
          <w:tcPr>
            <w:tcW w:w="1920" w:type="dxa"/>
            <w:tcBorders>
              <w:top w:val="single" w:sz="8" w:space="0" w:color="D9D9D9"/>
              <w:left w:val="single" w:sz="8" w:space="0" w:color="D9D9D9"/>
              <w:bottom w:val="single" w:sz="8" w:space="0" w:color="D9D9D9"/>
              <w:right w:val="single" w:sz="8" w:space="0" w:color="D9D9D9"/>
            </w:tcBorders>
          </w:tcPr>
          <w:p w14:paraId="1B0157A1"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4</w:t>
            </w:r>
          </w:p>
        </w:tc>
        <w:tc>
          <w:tcPr>
            <w:tcW w:w="1275" w:type="dxa"/>
            <w:tcBorders>
              <w:top w:val="single" w:sz="8" w:space="0" w:color="D9D9D9"/>
              <w:left w:val="single" w:sz="8" w:space="0" w:color="D9D9D9"/>
              <w:bottom w:val="single" w:sz="8" w:space="0" w:color="D9D9D9"/>
              <w:right w:val="single" w:sz="8" w:space="0" w:color="D9D9D9"/>
            </w:tcBorders>
          </w:tcPr>
          <w:p w14:paraId="1B0157A2"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1.32</w:t>
            </w:r>
          </w:p>
        </w:tc>
        <w:tc>
          <w:tcPr>
            <w:tcW w:w="1485" w:type="dxa"/>
            <w:tcBorders>
              <w:top w:val="single" w:sz="8" w:space="0" w:color="D9D9D9"/>
              <w:left w:val="single" w:sz="8" w:space="0" w:color="D9D9D9"/>
              <w:bottom w:val="single" w:sz="8" w:space="0" w:color="D9D9D9"/>
              <w:right w:val="single" w:sz="8" w:space="0" w:color="D9D9D9"/>
            </w:tcBorders>
          </w:tcPr>
          <w:p w14:paraId="1B0157A3"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w:t>
            </w:r>
          </w:p>
        </w:tc>
        <w:tc>
          <w:tcPr>
            <w:tcW w:w="1515" w:type="dxa"/>
            <w:tcBorders>
              <w:top w:val="single" w:sz="8" w:space="0" w:color="D9D9D9"/>
              <w:left w:val="single" w:sz="8" w:space="0" w:color="D9D9D9"/>
              <w:bottom w:val="single" w:sz="8" w:space="0" w:color="D9D9D9"/>
              <w:right w:val="single" w:sz="8" w:space="0" w:color="D9D9D9"/>
            </w:tcBorders>
          </w:tcPr>
          <w:p w14:paraId="1B0157A4"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w:t>
            </w:r>
          </w:p>
        </w:tc>
        <w:tc>
          <w:tcPr>
            <w:tcW w:w="1200" w:type="dxa"/>
            <w:tcBorders>
              <w:top w:val="single" w:sz="8" w:space="0" w:color="D9D9D9"/>
              <w:left w:val="single" w:sz="8" w:space="0" w:color="D9D9D9"/>
              <w:bottom w:val="single" w:sz="8" w:space="0" w:color="D9D9D9"/>
              <w:right w:val="single" w:sz="8" w:space="0" w:color="D9D9D9"/>
            </w:tcBorders>
          </w:tcPr>
          <w:p w14:paraId="1B0157A5"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0.024</w:t>
            </w:r>
          </w:p>
        </w:tc>
        <w:tc>
          <w:tcPr>
            <w:tcW w:w="2130" w:type="dxa"/>
            <w:tcBorders>
              <w:top w:val="single" w:sz="8" w:space="0" w:color="D9D9D9"/>
              <w:left w:val="single" w:sz="8" w:space="0" w:color="D9D9D9"/>
              <w:bottom w:val="single" w:sz="8" w:space="0" w:color="D9D9D9"/>
              <w:right w:val="single" w:sz="8" w:space="0" w:color="D9D9D9"/>
            </w:tcBorders>
          </w:tcPr>
          <w:p w14:paraId="1B0157A6"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 xml:space="preserve">Statistically significant in the opposite direction. </w:t>
            </w:r>
          </w:p>
        </w:tc>
      </w:tr>
      <w:tr w:rsidR="0035362F" w14:paraId="1B0157AE" w14:textId="77777777">
        <w:tc>
          <w:tcPr>
            <w:tcW w:w="1920" w:type="dxa"/>
            <w:tcBorders>
              <w:top w:val="single" w:sz="8" w:space="0" w:color="D9D9D9"/>
              <w:left w:val="single" w:sz="8" w:space="0" w:color="D9D9D9"/>
              <w:bottom w:val="single" w:sz="8" w:space="0" w:color="D9D9D9"/>
              <w:right w:val="single" w:sz="8" w:space="0" w:color="D9D9D9"/>
            </w:tcBorders>
          </w:tcPr>
          <w:p w14:paraId="1B0157A8"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6</w:t>
            </w:r>
          </w:p>
        </w:tc>
        <w:tc>
          <w:tcPr>
            <w:tcW w:w="1275" w:type="dxa"/>
            <w:tcBorders>
              <w:top w:val="single" w:sz="8" w:space="0" w:color="D9D9D9"/>
              <w:left w:val="single" w:sz="8" w:space="0" w:color="D9D9D9"/>
              <w:bottom w:val="single" w:sz="8" w:space="0" w:color="D9D9D9"/>
              <w:right w:val="single" w:sz="8" w:space="0" w:color="D9D9D9"/>
            </w:tcBorders>
          </w:tcPr>
          <w:p w14:paraId="1B0157A9"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1.71</w:t>
            </w:r>
          </w:p>
        </w:tc>
        <w:tc>
          <w:tcPr>
            <w:tcW w:w="1485" w:type="dxa"/>
            <w:tcBorders>
              <w:top w:val="single" w:sz="8" w:space="0" w:color="D9D9D9"/>
              <w:left w:val="single" w:sz="8" w:space="0" w:color="D9D9D9"/>
              <w:bottom w:val="single" w:sz="8" w:space="0" w:color="D9D9D9"/>
              <w:right w:val="single" w:sz="8" w:space="0" w:color="D9D9D9"/>
            </w:tcBorders>
          </w:tcPr>
          <w:p w14:paraId="1B0157AA"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w:t>
            </w:r>
          </w:p>
        </w:tc>
        <w:tc>
          <w:tcPr>
            <w:tcW w:w="1515" w:type="dxa"/>
            <w:tcBorders>
              <w:top w:val="single" w:sz="8" w:space="0" w:color="D9D9D9"/>
              <w:left w:val="single" w:sz="8" w:space="0" w:color="D9D9D9"/>
              <w:bottom w:val="single" w:sz="8" w:space="0" w:color="D9D9D9"/>
              <w:right w:val="single" w:sz="8" w:space="0" w:color="D9D9D9"/>
            </w:tcBorders>
          </w:tcPr>
          <w:p w14:paraId="1B0157AB"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w:t>
            </w:r>
          </w:p>
        </w:tc>
        <w:tc>
          <w:tcPr>
            <w:tcW w:w="1200" w:type="dxa"/>
            <w:tcBorders>
              <w:top w:val="single" w:sz="8" w:space="0" w:color="D9D9D9"/>
              <w:left w:val="single" w:sz="8" w:space="0" w:color="D9D9D9"/>
              <w:bottom w:val="single" w:sz="8" w:space="0" w:color="D9D9D9"/>
              <w:right w:val="single" w:sz="8" w:space="0" w:color="D9D9D9"/>
            </w:tcBorders>
          </w:tcPr>
          <w:p w14:paraId="1B0157AC"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&lt;.001</w:t>
            </w:r>
          </w:p>
        </w:tc>
        <w:tc>
          <w:tcPr>
            <w:tcW w:w="2130" w:type="dxa"/>
            <w:tcBorders>
              <w:top w:val="single" w:sz="8" w:space="0" w:color="D9D9D9"/>
              <w:left w:val="single" w:sz="8" w:space="0" w:color="D9D9D9"/>
              <w:bottom w:val="single" w:sz="8" w:space="0" w:color="D9D9D9"/>
              <w:right w:val="single" w:sz="8" w:space="0" w:color="D9D9D9"/>
            </w:tcBorders>
          </w:tcPr>
          <w:p w14:paraId="1B0157AD"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 xml:space="preserve">Extreme deviation from observed data.  </w:t>
            </w:r>
          </w:p>
        </w:tc>
      </w:tr>
      <w:tr w:rsidR="0035362F" w14:paraId="1B0157B5" w14:textId="77777777">
        <w:tc>
          <w:tcPr>
            <w:tcW w:w="1920" w:type="dxa"/>
            <w:tcBorders>
              <w:top w:val="single" w:sz="8" w:space="0" w:color="D9D9D9"/>
              <w:left w:val="single" w:sz="8" w:space="0" w:color="D9D9D9"/>
              <w:bottom w:val="single" w:sz="8" w:space="0" w:color="D9D9D9"/>
              <w:right w:val="single" w:sz="8" w:space="0" w:color="D9D9D9"/>
            </w:tcBorders>
          </w:tcPr>
          <w:p w14:paraId="1B0157AF"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12</w:t>
            </w:r>
          </w:p>
        </w:tc>
        <w:tc>
          <w:tcPr>
            <w:tcW w:w="1275" w:type="dxa"/>
            <w:tcBorders>
              <w:top w:val="single" w:sz="8" w:space="0" w:color="D9D9D9"/>
              <w:left w:val="single" w:sz="8" w:space="0" w:color="D9D9D9"/>
              <w:bottom w:val="single" w:sz="8" w:space="0" w:color="D9D9D9"/>
              <w:right w:val="single" w:sz="8" w:space="0" w:color="D9D9D9"/>
            </w:tcBorders>
          </w:tcPr>
          <w:p w14:paraId="1B0157B0"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2.86</w:t>
            </w:r>
          </w:p>
        </w:tc>
        <w:tc>
          <w:tcPr>
            <w:tcW w:w="1485" w:type="dxa"/>
            <w:tcBorders>
              <w:top w:val="single" w:sz="8" w:space="0" w:color="D9D9D9"/>
              <w:left w:val="single" w:sz="8" w:space="0" w:color="D9D9D9"/>
              <w:bottom w:val="single" w:sz="8" w:space="0" w:color="D9D9D9"/>
              <w:right w:val="single" w:sz="8" w:space="0" w:color="D9D9D9"/>
            </w:tcBorders>
          </w:tcPr>
          <w:p w14:paraId="1B0157B1"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2.12</w:t>
            </w:r>
          </w:p>
        </w:tc>
        <w:tc>
          <w:tcPr>
            <w:tcW w:w="1515" w:type="dxa"/>
            <w:tcBorders>
              <w:top w:val="single" w:sz="8" w:space="0" w:color="D9D9D9"/>
              <w:left w:val="single" w:sz="8" w:space="0" w:color="D9D9D9"/>
              <w:bottom w:val="single" w:sz="8" w:space="0" w:color="D9D9D9"/>
              <w:right w:val="single" w:sz="8" w:space="0" w:color="D9D9D9"/>
            </w:tcBorders>
          </w:tcPr>
          <w:p w14:paraId="1B0157B2"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3.86</w:t>
            </w:r>
          </w:p>
        </w:tc>
        <w:tc>
          <w:tcPr>
            <w:tcW w:w="1200" w:type="dxa"/>
            <w:tcBorders>
              <w:top w:val="single" w:sz="8" w:space="0" w:color="D9D9D9"/>
              <w:left w:val="single" w:sz="8" w:space="0" w:color="D9D9D9"/>
              <w:bottom w:val="single" w:sz="8" w:space="0" w:color="D9D9D9"/>
              <w:right w:val="single" w:sz="8" w:space="0" w:color="D9D9D9"/>
            </w:tcBorders>
          </w:tcPr>
          <w:p w14:paraId="1B0157B3"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&lt;.001</w:t>
            </w:r>
          </w:p>
        </w:tc>
        <w:tc>
          <w:tcPr>
            <w:tcW w:w="2130" w:type="dxa"/>
            <w:tcBorders>
              <w:top w:val="single" w:sz="8" w:space="0" w:color="D9D9D9"/>
              <w:left w:val="single" w:sz="8" w:space="0" w:color="D9D9D9"/>
              <w:bottom w:val="single" w:sz="8" w:space="0" w:color="D9D9D9"/>
              <w:right w:val="single" w:sz="8" w:space="0" w:color="D9D9D9"/>
            </w:tcBorders>
          </w:tcPr>
          <w:p w14:paraId="1B0157B4" w14:textId="77777777" w:rsidR="0035362F" w:rsidRDefault="008A5410">
            <w:pPr>
              <w:widowControl w:val="0"/>
              <w:rPr>
                <w:rFonts w:ascii="Times New Roman" w:eastAsia="Times New Roman" w:hAnsi="Times New Roman" w:cs="Times New Roman"/>
              </w:rPr>
            </w:pPr>
            <w:r>
              <w:rPr>
                <w:rFonts w:ascii="Times New Roman" w:eastAsia="Times New Roman" w:hAnsi="Times New Roman" w:cs="Times New Roman"/>
              </w:rPr>
              <w:t xml:space="preserve">Worst-case Scenario (sample maximum assigned). </w:t>
            </w:r>
          </w:p>
        </w:tc>
      </w:tr>
    </w:tbl>
    <w:p w14:paraId="1B0157B6" w14:textId="77777777" w:rsidR="0035362F" w:rsidRPr="00CC4177" w:rsidRDefault="008A5410">
      <w:pPr>
        <w:rPr>
          <w:rFonts w:ascii="Times New Roman" w:eastAsia="Times New Roman" w:hAnsi="Times New Roman" w:cs="Times New Roman"/>
          <w:sz w:val="18"/>
          <w:szCs w:val="18"/>
        </w:rPr>
      </w:pPr>
      <w:r w:rsidRPr="00CC4177">
        <w:rPr>
          <w:rFonts w:ascii="Times New Roman" w:eastAsia="Times New Roman" w:hAnsi="Times New Roman" w:cs="Times New Roman"/>
          <w:sz w:val="18"/>
          <w:szCs w:val="18"/>
        </w:rPr>
        <w:t xml:space="preserve">Abbreviations: IRR = Incidence Rate Ratio; CI = Confidence Interval; MICE = Multiple Imputation by Chained Equations.  </w:t>
      </w:r>
    </w:p>
    <w:p w14:paraId="1B0157B7" w14:textId="77777777" w:rsidR="0035362F" w:rsidRPr="00CC4177" w:rsidRDefault="008A5410">
      <w:pPr>
        <w:rPr>
          <w:rFonts w:ascii="Times New Roman" w:eastAsia="Times New Roman" w:hAnsi="Times New Roman" w:cs="Times New Roman"/>
          <w:sz w:val="18"/>
          <w:szCs w:val="18"/>
        </w:rPr>
      </w:pPr>
      <w:r w:rsidRPr="00CC4177">
        <w:rPr>
          <w:rFonts w:ascii="Times New Roman" w:eastAsia="Gungsuh" w:hAnsi="Times New Roman" w:cs="Times New Roman"/>
          <w:sz w:val="18"/>
          <w:szCs w:val="18"/>
        </w:rPr>
        <w:t xml:space="preserve">The primary fall rate IRR is derived from a negative binomial regression adjusted for all baseline </w:t>
      </w:r>
      <w:proofErr w:type="gramStart"/>
      <w:r w:rsidRPr="00CC4177">
        <w:rPr>
          <w:rFonts w:ascii="Times New Roman" w:eastAsia="Gungsuh" w:hAnsi="Times New Roman" w:cs="Times New Roman"/>
          <w:sz w:val="18"/>
          <w:szCs w:val="18"/>
        </w:rPr>
        <w:t>covariate</w:t>
      </w:r>
      <w:proofErr w:type="gramEnd"/>
      <w:r w:rsidRPr="00CC4177">
        <w:rPr>
          <w:rFonts w:ascii="Times New Roman" w:eastAsia="Gungsuh" w:hAnsi="Times New Roman" w:cs="Times New Roman"/>
          <w:sz w:val="18"/>
          <w:szCs w:val="18"/>
        </w:rPr>
        <w:t xml:space="preserve">. Retained intervention participants who completed the study averaged 0.6 falls (174 total ÷ 288 participants). The tipping point of ≥ 2 assigned falls represents an implausible 3.3-fold increase over the actual observed fall rate of program completers.   </w:t>
      </w:r>
    </w:p>
    <w:sectPr w:rsidR="0035362F" w:rsidRPr="00CC4177" w:rsidSect="00CC4177">
      <w:pgSz w:w="12240" w:h="15840"/>
      <w:pgMar w:top="1440" w:right="1440" w:bottom="1440" w:left="1440" w:header="720" w:footer="720"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ungsuh">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200247B" w:usb2="00000009" w:usb3="00000000" w:csb0="000001FF" w:csb1="00000000"/>
    <w:embedRegular r:id="rId1" w:fontKey="{92E05CE7-75F7-4400-A38E-134026F73748}"/>
  </w:font>
  <w:font w:name="Cambria">
    <w:panose1 w:val="02040503050406030204"/>
    <w:charset w:val="00"/>
    <w:family w:val="roman"/>
    <w:pitch w:val="variable"/>
    <w:sig w:usb0="E00006FF" w:usb1="420024FF" w:usb2="02000000" w:usb3="00000000" w:csb0="0000019F" w:csb1="00000000"/>
    <w:embedRegular r:id="rId2" w:fontKey="{10E3962F-9893-4B75-8217-F5CC3B92B3A7}"/>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362F"/>
    <w:rsid w:val="000B20D8"/>
    <w:rsid w:val="0035362F"/>
    <w:rsid w:val="006D7E62"/>
    <w:rsid w:val="00703EA2"/>
    <w:rsid w:val="00CC41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015566"/>
  <w15:docId w15:val="{4D6634B3-986B-4054-90D9-22D33B59AD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iCs/>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0"/>
    <w:tblPr>
      <w:tblStyleRowBandSize w:val="1"/>
      <w:tblStyleColBandSize w:val="1"/>
    </w:tblPr>
  </w:style>
  <w:style w:type="table" w:customStyle="1" w:styleId="a0">
    <w:basedOn w:val="TableNormal0"/>
    <w:tblPr>
      <w:tblStyleRowBandSize w:val="1"/>
      <w:tblStyleColBandSize w:val="1"/>
    </w:tblPr>
  </w:style>
  <w:style w:type="table" w:customStyle="1" w:styleId="a1">
    <w:basedOn w:val="TableNormal0"/>
    <w:tblPr>
      <w:tblStyleRowBandSize w:val="1"/>
      <w:tblStyleColBandSize w:val="1"/>
    </w:tblPr>
  </w:style>
  <w:style w:type="table" w:customStyle="1" w:styleId="a2">
    <w:basedOn w:val="TableNormal0"/>
    <w:tblPr>
      <w:tblStyleRowBandSize w:val="1"/>
      <w:tblStyleColBandSize w:val="1"/>
    </w:tblPr>
  </w:style>
  <w:style w:type="table" w:customStyle="1" w:styleId="a3">
    <w:basedOn w:val="TableNormal0"/>
    <w:tblPr>
      <w:tblStyleRowBandSize w:val="1"/>
      <w:tblStyleColBandSize w:val="1"/>
    </w:tblPr>
  </w:style>
  <w:style w:type="table" w:customStyle="1" w:styleId="a4">
    <w:basedOn w:val="TableNormal0"/>
    <w:tblPr>
      <w:tblStyleRowBandSize w:val="1"/>
      <w:tblStyleColBandSize w:val="1"/>
    </w:tblPr>
  </w:style>
  <w:style w:type="table" w:customStyle="1" w:styleId="a5">
    <w:basedOn w:val="TableNormal0"/>
    <w:tblPr>
      <w:tblStyleRowBandSize w:val="1"/>
      <w:tblStyleColBandSize w:val="1"/>
    </w:tblPr>
  </w:style>
  <w:style w:type="character" w:styleId="LineNumber">
    <w:name w:val="line number"/>
    <w:basedOn w:val="DefaultParagraphFont"/>
    <w:uiPriority w:val="99"/>
    <w:semiHidden/>
    <w:unhideWhenUsed/>
    <w:rsid w:val="006D7E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BDAB46CB42E974B8B343136A9C5AD12" ma:contentTypeVersion="15" ma:contentTypeDescription="Create a new document." ma:contentTypeScope="" ma:versionID="66ebf5f561be30d34b7a92e70ad66057">
  <xsd:schema xmlns:xsd="http://www.w3.org/2001/XMLSchema" xmlns:xs="http://www.w3.org/2001/XMLSchema" xmlns:p="http://schemas.microsoft.com/office/2006/metadata/properties" xmlns:ns2="34ef6fd2-5125-4c23-b935-9d16404da0a5" xmlns:ns3="8c3c43cf-186b-4613-84b4-a4ff23217b56" targetNamespace="http://schemas.microsoft.com/office/2006/metadata/properties" ma:root="true" ma:fieldsID="559148f9941e44eed5ab2a676c7f46b9" ns2:_="" ns3:_="">
    <xsd:import namespace="34ef6fd2-5125-4c23-b935-9d16404da0a5"/>
    <xsd:import namespace="8c3c43cf-186b-4613-84b4-a4ff23217b5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ef6fd2-5125-4c23-b935-9d16404da0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89cbd03e-66a2-4c18-a228-0d90db848384"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3c43cf-186b-4613-84b4-a4ff23217b5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6212e874-be26-499a-b36a-3e9c3c72934e}" ma:internalName="TaxCatchAll" ma:showField="CatchAllData" ma:web="8c3c43cf-186b-4613-84b4-a4ff23217b5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4ef6fd2-5125-4c23-b935-9d16404da0a5">
      <Terms xmlns="http://schemas.microsoft.com/office/infopath/2007/PartnerControls"/>
    </lcf76f155ced4ddcb4097134ff3c332f>
    <TaxCatchAll xmlns="8c3c43cf-186b-4613-84b4-a4ff23217b56" xsi:nil="true"/>
  </documentManagement>
</p:properties>
</file>

<file path=customXml/itemProps1.xml><?xml version="1.0" encoding="utf-8"?>
<ds:datastoreItem xmlns:ds="http://schemas.openxmlformats.org/officeDocument/2006/customXml" ds:itemID="{13E4101C-A7C6-48A5-829C-A47A7F73BB69}"/>
</file>

<file path=customXml/itemProps2.xml><?xml version="1.0" encoding="utf-8"?>
<ds:datastoreItem xmlns:ds="http://schemas.openxmlformats.org/officeDocument/2006/customXml" ds:itemID="{73D132DA-299C-40BE-86DF-9DD212F591A9}"/>
</file>

<file path=customXml/itemProps3.xml><?xml version="1.0" encoding="utf-8"?>
<ds:datastoreItem xmlns:ds="http://schemas.openxmlformats.org/officeDocument/2006/customXml" ds:itemID="{539E064D-675F-4396-8B39-AE706C05EACF}"/>
</file>

<file path=docProps/app.xml><?xml version="1.0" encoding="utf-8"?>
<Properties xmlns="http://schemas.openxmlformats.org/officeDocument/2006/extended-properties" xmlns:vt="http://schemas.openxmlformats.org/officeDocument/2006/docPropsVTypes">
  <Template>Normal.dotm</Template>
  <TotalTime>2</TotalTime>
  <Pages>3</Pages>
  <Words>555</Words>
  <Characters>3165</Characters>
  <Application>Microsoft Office Word</Application>
  <DocSecurity>0</DocSecurity>
  <Lines>26</Lines>
  <Paragraphs>7</Paragraphs>
  <ScaleCrop>false</ScaleCrop>
  <Company/>
  <LinksUpToDate>false</LinksUpToDate>
  <CharactersWithSpaces>3713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Laura Dormer</cp:lastModifiedBy>
  <cp:revision>4</cp:revision>
  <dcterms:created xsi:type="dcterms:W3CDTF">2026-07-08T15:06:00Z</dcterms:created>
  <dcterms:modified xsi:type="dcterms:W3CDTF">2026-07-08T15:07:00Z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0x010100FBDAB46CB42E974B8B343136A9C5AD12</vt:lpwstr>
  </property>
</Properties>
</file>